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C98" w:rsidRDefault="00C36C9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0B1C98" w:rsidRDefault="00C36C99">
      <w:pPr>
        <w:ind w:right="-200"/>
        <w:jc w:val="both"/>
        <w:sectPr w:rsidR="000B1C98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  <w:r>
        <w:rPr>
          <w:b/>
          <w:bCs/>
          <w:noProof/>
          <w:kern w:val="36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28575</wp:posOffset>
            </wp:positionH>
            <wp:positionV relativeFrom="paragraph">
              <wp:posOffset>-796925</wp:posOffset>
            </wp:positionV>
            <wp:extent cx="7766050" cy="107321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1073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30E6F" w:rsidRP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C36C99" w:rsidP="004419C3">
      <w:pPr>
        <w:numPr>
          <w:ilvl w:val="0"/>
          <w:numId w:val="1"/>
        </w:numPr>
        <w:ind w:left="431" w:firstLine="720"/>
        <w:contextualSpacing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4419C3" w:rsidRDefault="004419C3" w:rsidP="004419C3">
      <w:pPr>
        <w:contextualSpacing/>
        <w:jc w:val="both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C36C99" w:rsidP="004419C3">
      <w:pPr>
        <w:contextualSpacing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</w:t>
      </w:r>
      <w:r w:rsidRPr="008D75DD">
        <w:rPr>
          <w:bCs/>
          <w:kern w:val="36"/>
          <w:lang w:val="ru-RU" w:eastAsia="ru-RU"/>
        </w:rPr>
        <w:t>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</w:t>
      </w:r>
      <w:r w:rsidRPr="008D75DD">
        <w:rPr>
          <w:bCs/>
          <w:kern w:val="36"/>
          <w:lang w:val="ru-RU" w:eastAsia="ru-RU"/>
        </w:rPr>
        <w:t>ритмы, стратегию) и методы их выявления.</w:t>
      </w:r>
    </w:p>
    <w:p w:rsidR="00881ACD" w:rsidRPr="004441B2" w:rsidRDefault="00C36C99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C36C99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</w:t>
      </w:r>
      <w:r w:rsidRPr="004441B2">
        <w:rPr>
          <w:rFonts w:eastAsia="Calibri"/>
          <w:lang w:val="ru-RU"/>
        </w:rPr>
        <w:t>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C36C99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</w:t>
      </w:r>
      <w:r w:rsidRPr="004441B2">
        <w:rPr>
          <w:rFonts w:eastAsia="Calibri"/>
          <w:lang w:val="ru-RU"/>
        </w:rPr>
        <w:t>но значимых заболеваний и патологических процессов;</w:t>
      </w:r>
    </w:p>
    <w:p w:rsidR="00881ACD" w:rsidRPr="004441B2" w:rsidRDefault="00C36C99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C36C99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</w:t>
      </w:r>
      <w:r w:rsidRPr="004441B2">
        <w:rPr>
          <w:rFonts w:eastAsia="Calibri"/>
          <w:lang w:val="ru-RU"/>
        </w:rPr>
        <w:t>клинического м</w:t>
      </w:r>
      <w:r>
        <w:rPr>
          <w:rFonts w:eastAsia="Calibri"/>
          <w:lang w:val="ru-RU"/>
        </w:rPr>
        <w:t xml:space="preserve">ышления </w:t>
      </w:r>
      <w:r w:rsidR="004419C3">
        <w:rPr>
          <w:rFonts w:eastAsia="Calibri"/>
          <w:lang w:val="ru-RU"/>
        </w:rPr>
        <w:t xml:space="preserve"> врача.</w:t>
      </w:r>
    </w:p>
    <w:p w:rsidR="004419C3" w:rsidRPr="004441B2" w:rsidRDefault="004419C3" w:rsidP="004419C3">
      <w:pPr>
        <w:jc w:val="both"/>
        <w:rPr>
          <w:rFonts w:eastAsia="Calibri"/>
          <w:lang w:val="ru-RU"/>
        </w:rPr>
      </w:pPr>
    </w:p>
    <w:p w:rsidR="00881ACD" w:rsidRPr="00830E6F" w:rsidRDefault="00C36C99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</w:t>
      </w:r>
      <w:r w:rsidRPr="00830E6F">
        <w:rPr>
          <w:b/>
          <w:bCs/>
          <w:iCs/>
          <w:kern w:val="36"/>
          <w:sz w:val="28"/>
          <w:lang w:val="ru-RU" w:eastAsia="ru-RU"/>
        </w:rPr>
        <w:t>модуля) в структуре</w:t>
      </w:r>
      <w:r w:rsidRPr="00830E6F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830E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 w:rsidRPr="00830E6F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5"/>
      <w:r w:rsidRPr="00830E6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830E6F" w:rsidRDefault="00C36C99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30E6F">
        <w:rPr>
          <w:rFonts w:eastAsia="Calibri"/>
          <w:lang w:val="ru-RU"/>
        </w:rPr>
        <w:t>Общая трудоемкость рабочей программы по специальности «</w:t>
      </w:r>
      <w:r w:rsidRPr="00830E6F">
        <w:rPr>
          <w:rFonts w:eastAsia="Calibri"/>
          <w:lang w:val="ru-RU"/>
        </w:rPr>
        <w:t>Клиническая патофизиология</w:t>
      </w:r>
      <w:r w:rsidRPr="00830E6F">
        <w:rPr>
          <w:rFonts w:eastAsia="Calibri"/>
          <w:lang w:val="ru-RU"/>
        </w:rPr>
        <w:t>» составляет 108 часов (3 зач</w:t>
      </w:r>
      <w:bookmarkStart w:id="9" w:name="_GoBack"/>
      <w:bookmarkEnd w:id="9"/>
      <w:r w:rsidRPr="00830E6F">
        <w:rPr>
          <w:rFonts w:eastAsia="Calibri"/>
          <w:lang w:val="ru-RU"/>
        </w:rPr>
        <w:t xml:space="preserve">етных единицы (з.е.)). </w:t>
      </w:r>
      <w:r w:rsidRPr="00830E6F">
        <w:rPr>
          <w:rFonts w:eastAsia="Calibri"/>
          <w:lang w:val="ru-RU"/>
        </w:rPr>
        <w:t xml:space="preserve">Одна зачетная единица составляет 36 академических часов (27 астрономических часов). </w:t>
      </w:r>
    </w:p>
    <w:p w:rsidR="00881ACD" w:rsidRPr="00830E6F" w:rsidRDefault="00C36C99" w:rsidP="004419C3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830E6F">
        <w:rPr>
          <w:rFonts w:eastAsia="Calibri"/>
          <w:lang w:val="ru-RU"/>
        </w:rPr>
        <w:t>Дисциплина Б</w:t>
      </w:r>
      <w:r w:rsidR="004408E2" w:rsidRPr="00830E6F">
        <w:rPr>
          <w:rFonts w:eastAsia="Calibri"/>
          <w:lang w:val="ru-RU"/>
        </w:rPr>
        <w:t>1</w:t>
      </w:r>
      <w:r w:rsidRPr="00830E6F">
        <w:rPr>
          <w:rFonts w:eastAsia="Calibri"/>
          <w:lang w:val="ru-RU"/>
        </w:rPr>
        <w:t>.</w:t>
      </w:r>
      <w:r w:rsidR="004408E2" w:rsidRPr="00830E6F">
        <w:rPr>
          <w:rFonts w:eastAsia="Calibri"/>
          <w:lang w:val="ru-RU"/>
        </w:rPr>
        <w:t>Ч1.</w:t>
      </w:r>
      <w:r w:rsidRPr="00830E6F">
        <w:rPr>
          <w:rFonts w:eastAsia="Calibri"/>
          <w:lang w:val="ru-RU"/>
        </w:rPr>
        <w:t>0</w:t>
      </w:r>
      <w:r w:rsidRPr="00830E6F">
        <w:rPr>
          <w:rFonts w:eastAsia="Calibri"/>
          <w:lang w:val="ru-RU"/>
        </w:rPr>
        <w:t>9</w:t>
      </w:r>
      <w:r w:rsidRPr="00830E6F">
        <w:rPr>
          <w:rFonts w:eastAsia="Calibri"/>
          <w:lang w:val="ru-RU"/>
        </w:rPr>
        <w:t xml:space="preserve"> «Клиническая </w:t>
      </w:r>
      <w:r w:rsidRPr="00830E6F">
        <w:rPr>
          <w:rFonts w:eastAsia="Calibri"/>
          <w:lang w:val="ru-RU"/>
        </w:rPr>
        <w:t>патофизиология</w:t>
      </w:r>
      <w:r w:rsidRPr="00830E6F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FC09C8" w:rsidRPr="00830E6F">
        <w:rPr>
          <w:rFonts w:eastAsia="Calibri"/>
          <w:lang w:val="ru-RU"/>
        </w:rPr>
        <w:t>31.08.53 Эндокринология</w:t>
      </w:r>
      <w:r w:rsidR="0064773B" w:rsidRPr="00830E6F">
        <w:rPr>
          <w:rFonts w:eastAsia="Calibri"/>
          <w:lang w:val="ru-RU"/>
        </w:rPr>
        <w:t xml:space="preserve">. </w:t>
      </w:r>
      <w:r w:rsidRPr="00830E6F">
        <w:rPr>
          <w:rFonts w:eastAsia="Calibri"/>
          <w:lang w:val="ru-RU"/>
        </w:rPr>
        <w:t xml:space="preserve">Дисциплина (модуль) изучается во  </w:t>
      </w:r>
      <w:r w:rsidRPr="00830E6F">
        <w:rPr>
          <w:rFonts w:eastAsia="Calibri"/>
          <w:lang w:val="ru-RU"/>
        </w:rPr>
        <w:t>1</w:t>
      </w:r>
      <w:r w:rsidRPr="00830E6F">
        <w:rPr>
          <w:rFonts w:eastAsia="Calibri"/>
          <w:lang w:val="ru-RU"/>
        </w:rPr>
        <w:t xml:space="preserve"> семестре. </w:t>
      </w:r>
    </w:p>
    <w:p w:rsidR="004419C3" w:rsidRPr="00830E6F" w:rsidRDefault="004419C3" w:rsidP="004419C3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830E6F" w:rsidRDefault="00C36C99" w:rsidP="004419C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830E6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830E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4419C3" w:rsidRPr="00830E6F" w:rsidRDefault="00C36C99" w:rsidP="004419C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830E6F">
        <w:rPr>
          <w:b/>
          <w:bCs/>
          <w:i/>
          <w:lang w:val="ru-RU" w:eastAsia="ru-RU"/>
        </w:rPr>
        <w:t>Знать:</w:t>
      </w:r>
    </w:p>
    <w:p w:rsidR="004419C3" w:rsidRDefault="00C36C99" w:rsidP="004419C3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830E6F"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</w:t>
      </w:r>
      <w:r w:rsidRPr="00830E6F">
        <w:rPr>
          <w:lang w:val="ru-RU" w:eastAsia="ru-RU"/>
        </w:rPr>
        <w:t xml:space="preserve"> типовых патологических</w:t>
      </w:r>
      <w:r>
        <w:rPr>
          <w:lang w:val="ru-RU" w:eastAsia="ru-RU"/>
        </w:rPr>
        <w:t xml:space="preserve"> процессов, нарушений функций органов и систем (УК-1).</w:t>
      </w:r>
    </w:p>
    <w:p w:rsidR="004419C3" w:rsidRDefault="00C36C99" w:rsidP="004419C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4419C3" w:rsidRDefault="00C36C99" w:rsidP="004419C3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теста</w:t>
      </w:r>
      <w:r>
        <w:rPr>
          <w:lang w:val="ru-RU" w:eastAsia="ru-RU"/>
        </w:rPr>
        <w:t>м 1- го уровня (УК-1).</w:t>
      </w:r>
    </w:p>
    <w:p w:rsidR="004419C3" w:rsidRDefault="00C36C99" w:rsidP="004419C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4419C3" w:rsidRPr="00F7556A" w:rsidRDefault="00C36C99" w:rsidP="004419C3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4419C3" w:rsidRDefault="004419C3" w:rsidP="004419C3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C36C99" w:rsidP="004419C3">
      <w:pPr>
        <w:numPr>
          <w:ilvl w:val="0"/>
          <w:numId w:val="1"/>
        </w:numPr>
        <w:spacing w:before="120"/>
        <w:ind w:left="431" w:hanging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4419C3" w:rsidRDefault="00C36C99" w:rsidP="004419C3">
      <w:pPr>
        <w:keepNext/>
        <w:numPr>
          <w:ilvl w:val="1"/>
          <w:numId w:val="1"/>
        </w:numPr>
        <w:spacing w:before="360"/>
        <w:contextualSpacing/>
        <w:outlineLvl w:val="1"/>
        <w:rPr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4419C3">
        <w:rPr>
          <w:b/>
          <w:sz w:val="28"/>
          <w:szCs w:val="28"/>
          <w:lang w:val="ru-RU"/>
        </w:rPr>
        <w:t>Объем дисциплины (модуля), объем контактной и самостоятельной работы обучающегося при освоении</w:t>
      </w:r>
      <w:r w:rsidRPr="004419C3">
        <w:rPr>
          <w:b/>
          <w:sz w:val="28"/>
          <w:szCs w:val="28"/>
          <w:lang w:val="ru-RU"/>
        </w:rPr>
        <w:t xml:space="preserve"> дисциплины (модуля), формы промежуточной аттестации по дисциплине (модулю)</w:t>
      </w:r>
    </w:p>
    <w:p w:rsidR="004419C3" w:rsidRPr="00FE32B6" w:rsidRDefault="004419C3" w:rsidP="004419C3">
      <w:pPr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B1C98" w:rsidRPr="00830E6F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</w:t>
            </w:r>
            <w:r w:rsidRPr="00E5464D">
              <w:rPr>
                <w:rFonts w:eastAsia="Calibri"/>
                <w:b/>
                <w:lang w:val="ru-RU"/>
              </w:rPr>
              <w:t xml:space="preserve"> работы в академических часах</w:t>
            </w:r>
          </w:p>
        </w:tc>
      </w:tr>
      <w:tr w:rsidR="000B1C98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B1C98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B1C98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0B1C98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36C99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419C3" w:rsidRPr="00850BB9" w:rsidRDefault="00C36C99" w:rsidP="004419C3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B1C98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9C3" w:rsidRPr="00636170" w:rsidRDefault="00C36C99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4419C3" w:rsidRPr="00636170" w:rsidRDefault="00C36C99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9C3" w:rsidRPr="00636170" w:rsidRDefault="00C36C99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B1C98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0B1C98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4419C3" w:rsidRPr="007F4C14" w:rsidRDefault="00C36C99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0B1C98" w:rsidRPr="00830E6F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4419C3" w:rsidRPr="00636170" w:rsidRDefault="00C36C99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0B1C98" w:rsidRPr="00830E6F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0B1C98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0B1C98" w:rsidRPr="00830E6F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0B1C98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0B1C98" w:rsidRPr="00830E6F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0B1C98" w:rsidRPr="00830E6F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</w:tc>
      </w:tr>
      <w:tr w:rsidR="000B1C98" w:rsidRPr="00830E6F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Default="00C36C99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4419C3" w:rsidRPr="00636170" w:rsidRDefault="00C36C99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B1C98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C36C99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C36C99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0B1C98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B1C98" w:rsidTr="00F319E0">
        <w:trPr>
          <w:jc w:val="center"/>
        </w:trPr>
        <w:tc>
          <w:tcPr>
            <w:tcW w:w="437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C36C99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0B1C98" w:rsidRPr="00830E6F" w:rsidTr="00F319E0">
        <w:trPr>
          <w:jc w:val="center"/>
        </w:trPr>
        <w:tc>
          <w:tcPr>
            <w:tcW w:w="437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>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0B1C98" w:rsidTr="00F319E0">
        <w:trPr>
          <w:jc w:val="center"/>
        </w:trPr>
        <w:tc>
          <w:tcPr>
            <w:tcW w:w="437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0B1C98" w:rsidRPr="00830E6F" w:rsidTr="00F319E0">
        <w:trPr>
          <w:jc w:val="center"/>
        </w:trPr>
        <w:tc>
          <w:tcPr>
            <w:tcW w:w="437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0B1C98" w:rsidTr="00F319E0">
        <w:trPr>
          <w:jc w:val="center"/>
        </w:trPr>
        <w:tc>
          <w:tcPr>
            <w:tcW w:w="437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C36C99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4419C3" w:rsidRPr="00850BB9" w:rsidRDefault="004419C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B1C98" w:rsidRPr="00830E6F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36C99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C36C99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0B1C98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B1C98" w:rsidRPr="00830E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B1C98" w:rsidRPr="00830E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0B1C98" w:rsidRPr="00830E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0B1C98" w:rsidRPr="00830E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0B1C9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0B1C9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36C99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4419C3" w:rsidRDefault="004419C3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Default="00C36C99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4419C3" w:rsidRPr="005E1D46" w:rsidRDefault="004419C3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Default="00C36C99" w:rsidP="004419C3">
      <w:pPr>
        <w:ind w:firstLine="709"/>
        <w:contextualSpacing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0B1C98" w:rsidTr="00F319E0">
        <w:tc>
          <w:tcPr>
            <w:tcW w:w="7621" w:type="dxa"/>
            <w:gridSpan w:val="2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B1C98" w:rsidTr="00F319E0">
        <w:tc>
          <w:tcPr>
            <w:tcW w:w="9747" w:type="dxa"/>
            <w:gridSpan w:val="3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B1C98" w:rsidTr="00F319E0">
        <w:tc>
          <w:tcPr>
            <w:tcW w:w="2802" w:type="dxa"/>
            <w:vMerge w:val="restart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B1C9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0B1C9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B1C9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0B1C9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B1C98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B1C98" w:rsidTr="00F319E0">
        <w:tc>
          <w:tcPr>
            <w:tcW w:w="2802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C36C99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C36C99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C36C99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стобалльной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B1C98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B1C9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B1C9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B1C9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C36C99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C36C99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C36C99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4419C3" w:rsidRPr="005E1D46" w:rsidRDefault="00C36C99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- 7</w:t>
      </w:r>
      <w:r w:rsidRPr="005E3F9E">
        <w:rPr>
          <w:rFonts w:eastAsia="Calibri"/>
          <w:bCs/>
          <w:lang w:val="ru-RU"/>
        </w:rPr>
        <w:t xml:space="preserve">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</w:t>
      </w:r>
      <w:r w:rsidRPr="005E1D46">
        <w:rPr>
          <w:rFonts w:eastAsia="Calibri"/>
          <w:bCs/>
          <w:lang w:val="ru-RU"/>
        </w:rPr>
        <w:t>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</w:t>
      </w:r>
      <w:r w:rsidRPr="005E1D46">
        <w:rPr>
          <w:rFonts w:eastAsia="Calibri"/>
          <w:bCs/>
          <w:lang w:val="ru-RU"/>
        </w:rPr>
        <w:t>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</w:t>
      </w:r>
      <w:r w:rsidRPr="005E1D46">
        <w:rPr>
          <w:rFonts w:eastAsia="Calibri"/>
          <w:bCs/>
          <w:lang w:val="ru-RU"/>
        </w:rPr>
        <w:t>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5. Новицкий В.В., Патофизиология. В 2 т. Том 2 [Электронный ресурс]: учебник / П</w:t>
      </w:r>
      <w:r w:rsidRPr="005E1D46">
        <w:rPr>
          <w:rFonts w:eastAsia="Calibri"/>
          <w:bCs/>
          <w:lang w:val="ru-RU"/>
        </w:rPr>
        <w:t>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</w:t>
      </w:r>
      <w:r>
        <w:rPr>
          <w:rFonts w:eastAsia="Calibri"/>
          <w:bCs/>
          <w:lang w:val="ru-RU"/>
        </w:rPr>
        <w:t>вторизированный.</w:t>
      </w:r>
    </w:p>
    <w:p w:rsidR="004419C3" w:rsidRPr="005E1D46" w:rsidRDefault="00C36C99" w:rsidP="004419C3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 xml:space="preserve">Литтерра, 2013. - 272 с. - ISBN </w:t>
      </w:r>
      <w:r w:rsidRPr="005E1D46">
        <w:rPr>
          <w:rFonts w:eastAsia="Calibri"/>
          <w:bCs/>
          <w:lang w:val="ru-RU"/>
        </w:rPr>
        <w:t>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</w:t>
      </w:r>
      <w:r w:rsidRPr="005E1D46">
        <w:rPr>
          <w:rFonts w:eastAsia="Calibri"/>
          <w:bCs/>
          <w:lang w:val="ru-RU"/>
        </w:rPr>
        <w:t>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</w:t>
      </w:r>
      <w:r>
        <w:rPr>
          <w:rFonts w:eastAsia="Calibri"/>
          <w:bCs/>
          <w:lang w:val="ru-RU"/>
        </w:rPr>
        <w:t xml:space="preserve">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 xml:space="preserve">) - ISBN 978-5-9704-1257-2 - Режим </w:t>
      </w:r>
      <w:r w:rsidRPr="005E1D46">
        <w:rPr>
          <w:rFonts w:eastAsia="Calibri"/>
          <w:bCs/>
          <w:lang w:val="ru-RU"/>
        </w:rPr>
        <w:t>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</w:t>
      </w:r>
      <w:r w:rsidRPr="005E1D46">
        <w:rPr>
          <w:rFonts w:eastAsia="Calibri"/>
          <w:bCs/>
          <w:lang w:val="ru-RU"/>
        </w:rPr>
        <w:t>Ткачука - М.: 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C36C99" w:rsidP="004419C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</w:t>
      </w:r>
      <w:r w:rsidRPr="005E1D46">
        <w:rPr>
          <w:rFonts w:eastAsia="Calibri"/>
          <w:b/>
          <w:bCs/>
          <w:sz w:val="28"/>
          <w:szCs w:val="28"/>
          <w:lang w:val="ru-RU"/>
        </w:rPr>
        <w:t>ети «Интернет», необходимых для освоения дисциплины (модуля)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</w:t>
      </w:r>
      <w:r w:rsidRPr="005E1D46">
        <w:rPr>
          <w:rFonts w:eastAsia="Calibri"/>
          <w:bCs/>
          <w:lang w:val="ru-RU"/>
        </w:rPr>
        <w:t>гическая физиология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C36C99" w:rsidP="004419C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C36C99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</w:t>
      </w:r>
      <w:r w:rsidRPr="005E1D46">
        <w:rPr>
          <w:rFonts w:eastAsia="Calibri"/>
          <w:b/>
          <w:bCs/>
          <w:lang w:val="ru-RU"/>
        </w:rPr>
        <w:t xml:space="preserve">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</w:t>
      </w:r>
      <w:r w:rsidRPr="005E1D46">
        <w:rPr>
          <w:rFonts w:eastAsia="Calibri"/>
          <w:bCs/>
          <w:lang w:val="ru-RU"/>
        </w:rPr>
        <w:t>аций MicrosoftPowerPoint;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C36C99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4419C3" w:rsidRPr="005E1D46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F9255D" w:rsidRPr="004419C3" w:rsidRDefault="00C36C99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</w:t>
      </w:r>
      <w:r w:rsidRPr="005E1D46">
        <w:rPr>
          <w:rFonts w:eastAsia="Calibri"/>
          <w:bCs/>
          <w:lang w:val="ru-RU"/>
        </w:rPr>
        <w:t>//www.medical-enc.ru – Медицинская энциклопедия.</w:t>
      </w:r>
    </w:p>
    <w:sectPr w:rsidR="00F9255D" w:rsidRPr="004419C3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C99" w:rsidRDefault="00C36C99">
      <w:r>
        <w:separator/>
      </w:r>
    </w:p>
  </w:endnote>
  <w:endnote w:type="continuationSeparator" w:id="0">
    <w:p w:rsidR="00C36C99" w:rsidRDefault="00C3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C99" w:rsidRDefault="00C36C99">
      <w:r>
        <w:separator/>
      </w:r>
    </w:p>
  </w:footnote>
  <w:footnote w:type="continuationSeparator" w:id="0">
    <w:p w:rsidR="00C36C99" w:rsidRDefault="00C3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C36C99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830E6F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863406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134F47C" w:tentative="1">
      <w:start w:val="1"/>
      <w:numFmt w:val="lowerLetter"/>
      <w:lvlText w:val="%2."/>
      <w:lvlJc w:val="left"/>
      <w:pPr>
        <w:ind w:left="1440" w:hanging="360"/>
      </w:pPr>
    </w:lvl>
    <w:lvl w:ilvl="2" w:tplc="BA107870" w:tentative="1">
      <w:start w:val="1"/>
      <w:numFmt w:val="lowerRoman"/>
      <w:lvlText w:val="%3."/>
      <w:lvlJc w:val="right"/>
      <w:pPr>
        <w:ind w:left="2160" w:hanging="180"/>
      </w:pPr>
    </w:lvl>
    <w:lvl w:ilvl="3" w:tplc="F6163C22" w:tentative="1">
      <w:start w:val="1"/>
      <w:numFmt w:val="decimal"/>
      <w:lvlText w:val="%4."/>
      <w:lvlJc w:val="left"/>
      <w:pPr>
        <w:ind w:left="2880" w:hanging="360"/>
      </w:pPr>
    </w:lvl>
    <w:lvl w:ilvl="4" w:tplc="3F029316" w:tentative="1">
      <w:start w:val="1"/>
      <w:numFmt w:val="lowerLetter"/>
      <w:lvlText w:val="%5."/>
      <w:lvlJc w:val="left"/>
      <w:pPr>
        <w:ind w:left="3600" w:hanging="360"/>
      </w:pPr>
    </w:lvl>
    <w:lvl w:ilvl="5" w:tplc="2F1C8C4C" w:tentative="1">
      <w:start w:val="1"/>
      <w:numFmt w:val="lowerRoman"/>
      <w:lvlText w:val="%6."/>
      <w:lvlJc w:val="right"/>
      <w:pPr>
        <w:ind w:left="4320" w:hanging="180"/>
      </w:pPr>
    </w:lvl>
    <w:lvl w:ilvl="6" w:tplc="B7ACB5BC" w:tentative="1">
      <w:start w:val="1"/>
      <w:numFmt w:val="decimal"/>
      <w:lvlText w:val="%7."/>
      <w:lvlJc w:val="left"/>
      <w:pPr>
        <w:ind w:left="5040" w:hanging="360"/>
      </w:pPr>
    </w:lvl>
    <w:lvl w:ilvl="7" w:tplc="8DBE4C12" w:tentative="1">
      <w:start w:val="1"/>
      <w:numFmt w:val="lowerLetter"/>
      <w:lvlText w:val="%8."/>
      <w:lvlJc w:val="left"/>
      <w:pPr>
        <w:ind w:left="5760" w:hanging="360"/>
      </w:pPr>
    </w:lvl>
    <w:lvl w:ilvl="8" w:tplc="B3EA9C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25B626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3AEB010" w:tentative="1">
      <w:start w:val="1"/>
      <w:numFmt w:val="lowerLetter"/>
      <w:lvlText w:val="%2."/>
      <w:lvlJc w:val="left"/>
      <w:pPr>
        <w:ind w:left="1440" w:hanging="360"/>
      </w:pPr>
    </w:lvl>
    <w:lvl w:ilvl="2" w:tplc="0BF403CC" w:tentative="1">
      <w:start w:val="1"/>
      <w:numFmt w:val="lowerRoman"/>
      <w:lvlText w:val="%3."/>
      <w:lvlJc w:val="right"/>
      <w:pPr>
        <w:ind w:left="2160" w:hanging="180"/>
      </w:pPr>
    </w:lvl>
    <w:lvl w:ilvl="3" w:tplc="22B2476C" w:tentative="1">
      <w:start w:val="1"/>
      <w:numFmt w:val="decimal"/>
      <w:lvlText w:val="%4."/>
      <w:lvlJc w:val="left"/>
      <w:pPr>
        <w:ind w:left="2880" w:hanging="360"/>
      </w:pPr>
    </w:lvl>
    <w:lvl w:ilvl="4" w:tplc="7B2CD446" w:tentative="1">
      <w:start w:val="1"/>
      <w:numFmt w:val="lowerLetter"/>
      <w:lvlText w:val="%5."/>
      <w:lvlJc w:val="left"/>
      <w:pPr>
        <w:ind w:left="3600" w:hanging="360"/>
      </w:pPr>
    </w:lvl>
    <w:lvl w:ilvl="5" w:tplc="281AB4A2" w:tentative="1">
      <w:start w:val="1"/>
      <w:numFmt w:val="lowerRoman"/>
      <w:lvlText w:val="%6."/>
      <w:lvlJc w:val="right"/>
      <w:pPr>
        <w:ind w:left="4320" w:hanging="180"/>
      </w:pPr>
    </w:lvl>
    <w:lvl w:ilvl="6" w:tplc="3FD8AF4C" w:tentative="1">
      <w:start w:val="1"/>
      <w:numFmt w:val="decimal"/>
      <w:lvlText w:val="%7."/>
      <w:lvlJc w:val="left"/>
      <w:pPr>
        <w:ind w:left="5040" w:hanging="360"/>
      </w:pPr>
    </w:lvl>
    <w:lvl w:ilvl="7" w:tplc="7CE26F94" w:tentative="1">
      <w:start w:val="1"/>
      <w:numFmt w:val="lowerLetter"/>
      <w:lvlText w:val="%8."/>
      <w:lvlJc w:val="left"/>
      <w:pPr>
        <w:ind w:left="5760" w:hanging="360"/>
      </w:pPr>
    </w:lvl>
    <w:lvl w:ilvl="8" w:tplc="06868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7020E9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69AB302" w:tentative="1">
      <w:start w:val="1"/>
      <w:numFmt w:val="lowerLetter"/>
      <w:lvlText w:val="%2."/>
      <w:lvlJc w:val="left"/>
      <w:pPr>
        <w:ind w:left="1440" w:hanging="360"/>
      </w:pPr>
    </w:lvl>
    <w:lvl w:ilvl="2" w:tplc="DD4AE088" w:tentative="1">
      <w:start w:val="1"/>
      <w:numFmt w:val="lowerRoman"/>
      <w:lvlText w:val="%3."/>
      <w:lvlJc w:val="right"/>
      <w:pPr>
        <w:ind w:left="2160" w:hanging="180"/>
      </w:pPr>
    </w:lvl>
    <w:lvl w:ilvl="3" w:tplc="7DFA5A44" w:tentative="1">
      <w:start w:val="1"/>
      <w:numFmt w:val="decimal"/>
      <w:lvlText w:val="%4."/>
      <w:lvlJc w:val="left"/>
      <w:pPr>
        <w:ind w:left="2880" w:hanging="360"/>
      </w:pPr>
    </w:lvl>
    <w:lvl w:ilvl="4" w:tplc="3EBAC23C" w:tentative="1">
      <w:start w:val="1"/>
      <w:numFmt w:val="lowerLetter"/>
      <w:lvlText w:val="%5."/>
      <w:lvlJc w:val="left"/>
      <w:pPr>
        <w:ind w:left="3600" w:hanging="360"/>
      </w:pPr>
    </w:lvl>
    <w:lvl w:ilvl="5" w:tplc="054801EA" w:tentative="1">
      <w:start w:val="1"/>
      <w:numFmt w:val="lowerRoman"/>
      <w:lvlText w:val="%6."/>
      <w:lvlJc w:val="right"/>
      <w:pPr>
        <w:ind w:left="4320" w:hanging="180"/>
      </w:pPr>
    </w:lvl>
    <w:lvl w:ilvl="6" w:tplc="C1B03558" w:tentative="1">
      <w:start w:val="1"/>
      <w:numFmt w:val="decimal"/>
      <w:lvlText w:val="%7."/>
      <w:lvlJc w:val="left"/>
      <w:pPr>
        <w:ind w:left="5040" w:hanging="360"/>
      </w:pPr>
    </w:lvl>
    <w:lvl w:ilvl="7" w:tplc="F5F096DE" w:tentative="1">
      <w:start w:val="1"/>
      <w:numFmt w:val="lowerLetter"/>
      <w:lvlText w:val="%8."/>
      <w:lvlJc w:val="left"/>
      <w:pPr>
        <w:ind w:left="5760" w:hanging="360"/>
      </w:pPr>
    </w:lvl>
    <w:lvl w:ilvl="8" w:tplc="42981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B19AE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1EC0F8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B7A136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9C296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B063F7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7EF8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7226CD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D9E588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27CAE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C98"/>
    <w:rsid w:val="000B1C98"/>
    <w:rsid w:val="003E5D5C"/>
    <w:rsid w:val="00430A0D"/>
    <w:rsid w:val="004408E2"/>
    <w:rsid w:val="004419C3"/>
    <w:rsid w:val="004441B2"/>
    <w:rsid w:val="00497ADF"/>
    <w:rsid w:val="004E266E"/>
    <w:rsid w:val="005E1D46"/>
    <w:rsid w:val="005E3F9E"/>
    <w:rsid w:val="00636170"/>
    <w:rsid w:val="0064773B"/>
    <w:rsid w:val="00662772"/>
    <w:rsid w:val="006F6C80"/>
    <w:rsid w:val="007C585D"/>
    <w:rsid w:val="007F4C14"/>
    <w:rsid w:val="00830E6F"/>
    <w:rsid w:val="00850BB9"/>
    <w:rsid w:val="00881ACD"/>
    <w:rsid w:val="008D75DD"/>
    <w:rsid w:val="00AB03FC"/>
    <w:rsid w:val="00C36C99"/>
    <w:rsid w:val="00D8791B"/>
    <w:rsid w:val="00E5464D"/>
    <w:rsid w:val="00F319E0"/>
    <w:rsid w:val="00F7556A"/>
    <w:rsid w:val="00F9255D"/>
    <w:rsid w:val="00FC09C8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5DB7312-7023-4676-A8FF-027D0B2F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2237</Words>
  <Characters>12754</Characters>
  <Application>Microsoft Office Word</Application>
  <DocSecurity>0</DocSecurity>
  <Lines>106</Lines>
  <Paragraphs>29</Paragraphs>
  <ScaleCrop>false</ScaleCrop>
  <Company/>
  <LinksUpToDate>false</LinksUpToDate>
  <CharactersWithSpaces>14962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2023-06-27T13:59:00Z</dcterms:created>
  <dcterms:modified xsi:type="dcterms:W3CDTF">2023-06-27T14:00:00Z</dcterms:modified>
</cp:coreProperties>
</file>