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F5F" w:rsidRDefault="002D778C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pt;width:608.4pt;height:842.4pt;z-index:-251658752;mso-position-horizontal-relative:page" o:allowincell="f">
            <v:imagedata r:id="rId6" o:title=""/>
            <w10:wrap anchorx="page"/>
            <w10:anchorlock/>
          </v:shape>
        </w:pict>
      </w:r>
    </w:p>
    <w:p w:rsidR="00F60F5F" w:rsidRDefault="002D778C">
      <w:pPr>
        <w:spacing w:before="7"/>
        <w:ind w:right="-376"/>
        <w:jc w:val="both"/>
        <w:sectPr w:rsidR="00F60F5F">
          <w:pgSz w:w="12160" w:h="16840"/>
          <w:pgMar w:top="0" w:right="0" w:bottom="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16.5pt;height:849pt" o:allowincell="f">
            <v:imagedata r:id="rId7" o:title=""/>
          </v:shape>
        </w:pict>
      </w:r>
    </w:p>
    <w:p w:rsidR="00FD7853" w:rsidRPr="00556505" w:rsidRDefault="002D778C" w:rsidP="00FD785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FD7853" w:rsidRPr="00556505" w:rsidRDefault="00FD7853" w:rsidP="00FD785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FD7853" w:rsidRPr="00556505" w:rsidRDefault="002D778C" w:rsidP="00FD785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 xml:space="preserve">Фонд оценочных средств (оценочные материалы) включает в себя контрольные </w:t>
      </w:r>
      <w:r w:rsidRPr="00556505">
        <w:rPr>
          <w:rFonts w:eastAsia="Calibri"/>
          <w:sz w:val="28"/>
          <w:szCs w:val="28"/>
          <w:lang w:val="ru-RU"/>
        </w:rPr>
        <w:t>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</w:t>
      </w:r>
      <w:r w:rsidRPr="00556505">
        <w:rPr>
          <w:rFonts w:eastAsia="Calibri"/>
          <w:sz w:val="28"/>
          <w:szCs w:val="28"/>
          <w:lang w:val="ru-RU"/>
        </w:rPr>
        <w:t>емых результатов обучения по дисциплине «Патология», установленных в соответствующей рабочей программе дисциплины «Патология», а также сформированность компетенций, установленных в соответствующей общей характеристике основной профессиональной образователь</w:t>
      </w:r>
      <w:r w:rsidRPr="00556505">
        <w:rPr>
          <w:rFonts w:eastAsia="Calibri"/>
          <w:sz w:val="28"/>
          <w:szCs w:val="28"/>
          <w:lang w:val="ru-RU"/>
        </w:rPr>
        <w:t>ной программы.</w:t>
      </w:r>
    </w:p>
    <w:p w:rsidR="00FD7853" w:rsidRPr="00556505" w:rsidRDefault="002D778C" w:rsidP="00FD785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FD7853" w:rsidRPr="00556505" w:rsidRDefault="00FD7853" w:rsidP="00FD785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FD7853" w:rsidRPr="006C39C8" w:rsidRDefault="002D778C" w:rsidP="00FD785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FD7853" w:rsidRDefault="00FD7853" w:rsidP="00FD7853">
      <w:pPr>
        <w:rPr>
          <w:rFonts w:eastAsia="Calibri"/>
          <w:b/>
          <w:sz w:val="28"/>
          <w:szCs w:val="28"/>
          <w:lang w:val="ru-RU"/>
        </w:rPr>
      </w:pPr>
    </w:p>
    <w:p w:rsidR="00FD7853" w:rsidRPr="00BF23A7" w:rsidRDefault="0026477B" w:rsidP="00FD785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bookmarkStart w:id="1" w:name="_GoBack"/>
      <w:bookmarkEnd w:id="1"/>
      <w:r w:rsidR="002D778C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FD7853" w:rsidRPr="006C39C8" w:rsidRDefault="00FD7853" w:rsidP="00FD785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FD7853" w:rsidRPr="005B6E31" w:rsidRDefault="00FD7853" w:rsidP="00FD7853">
      <w:pPr>
        <w:rPr>
          <w:rFonts w:eastAsia="Calibri"/>
          <w:b/>
          <w:sz w:val="28"/>
          <w:szCs w:val="28"/>
          <w:lang w:val="ru-RU"/>
        </w:rPr>
      </w:pPr>
    </w:p>
    <w:bookmarkEnd w:id="2"/>
    <w:p w:rsidR="00FD7853" w:rsidRPr="005B6E31" w:rsidRDefault="002D778C" w:rsidP="00FD785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индикатор достижения компетенции </w:t>
      </w:r>
      <w:r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111EE3" w:rsidRPr="00C72194" w:rsidRDefault="002D778C" w:rsidP="00111EE3">
      <w:pPr>
        <w:shd w:val="clear" w:color="auto" w:fill="FFFFFF"/>
        <w:spacing w:after="375" w:line="360" w:lineRule="atLeast"/>
        <w:rPr>
          <w:color w:val="333333"/>
          <w:sz w:val="28"/>
          <w:szCs w:val="28"/>
          <w:lang w:val="ru-RU" w:eastAsia="ru-RU"/>
        </w:rPr>
      </w:pPr>
      <w:r>
        <w:rPr>
          <w:color w:val="333333"/>
          <w:sz w:val="28"/>
          <w:szCs w:val="28"/>
          <w:lang w:val="ru-RU" w:eastAsia="ru-RU"/>
        </w:rPr>
        <w:t>1</w:t>
      </w:r>
      <w:r w:rsidRPr="00C72194">
        <w:rPr>
          <w:color w:val="333333"/>
          <w:sz w:val="28"/>
          <w:szCs w:val="28"/>
          <w:lang w:val="ru-RU" w:eastAsia="ru-RU"/>
        </w:rPr>
        <w:t xml:space="preserve">. При выявлении у пациента глюкозурии в первую очередь </w:t>
      </w:r>
      <w:r w:rsidRPr="00C72194">
        <w:rPr>
          <w:color w:val="333333"/>
          <w:sz w:val="28"/>
          <w:szCs w:val="28"/>
          <w:lang w:val="ru-RU" w:eastAsia="ru-RU"/>
        </w:rPr>
        <w:t>необходимо:</w:t>
      </w:r>
      <w:r w:rsidRPr="00C72194">
        <w:rPr>
          <w:color w:val="333333"/>
          <w:sz w:val="28"/>
          <w:szCs w:val="28"/>
          <w:lang w:val="ru-RU" w:eastAsia="ru-RU"/>
        </w:rPr>
        <w:br/>
        <w:t>а) провести глюкозотолерантный тест</w:t>
      </w:r>
      <w:r w:rsidRPr="00C72194">
        <w:rPr>
          <w:color w:val="333333"/>
          <w:sz w:val="28"/>
          <w:szCs w:val="28"/>
          <w:lang w:val="ru-RU" w:eastAsia="ru-RU"/>
        </w:rPr>
        <w:br/>
        <w:t>б) определить уровень базального инсулина</w:t>
      </w:r>
      <w:r w:rsidRPr="00C72194">
        <w:rPr>
          <w:color w:val="333333"/>
          <w:sz w:val="28"/>
          <w:szCs w:val="28"/>
          <w:lang w:val="ru-RU" w:eastAsia="ru-RU"/>
        </w:rPr>
        <w:br/>
        <w:t>в) определить уровень глюкозы в крови натощак +</w:t>
      </w:r>
    </w:p>
    <w:p w:rsidR="00111EE3" w:rsidRPr="00C72194" w:rsidRDefault="002D778C" w:rsidP="00111EE3">
      <w:pPr>
        <w:shd w:val="clear" w:color="auto" w:fill="FFFFFF"/>
        <w:spacing w:after="375" w:line="360" w:lineRule="atLeast"/>
        <w:rPr>
          <w:color w:val="333333"/>
          <w:sz w:val="28"/>
          <w:szCs w:val="28"/>
          <w:lang w:val="ru-RU" w:eastAsia="ru-RU"/>
        </w:rPr>
      </w:pPr>
      <w:r>
        <w:rPr>
          <w:color w:val="333333"/>
          <w:sz w:val="28"/>
          <w:szCs w:val="28"/>
          <w:lang w:val="ru-RU" w:eastAsia="ru-RU"/>
        </w:rPr>
        <w:t>2</w:t>
      </w:r>
      <w:r w:rsidRPr="00C72194">
        <w:rPr>
          <w:color w:val="333333"/>
          <w:sz w:val="28"/>
          <w:szCs w:val="28"/>
          <w:lang w:val="ru-RU" w:eastAsia="ru-RU"/>
        </w:rPr>
        <w:t>. Функция желез внутренней секреции зависит:</w:t>
      </w:r>
      <w:r w:rsidRPr="00C72194">
        <w:rPr>
          <w:color w:val="333333"/>
          <w:sz w:val="28"/>
          <w:szCs w:val="28"/>
          <w:lang w:val="ru-RU" w:eastAsia="ru-RU"/>
        </w:rPr>
        <w:br/>
        <w:t>а) от состояния ЖКТ</w:t>
      </w:r>
      <w:r w:rsidRPr="00C72194">
        <w:rPr>
          <w:color w:val="333333"/>
          <w:sz w:val="28"/>
          <w:szCs w:val="28"/>
          <w:lang w:val="ru-RU" w:eastAsia="ru-RU"/>
        </w:rPr>
        <w:br/>
        <w:t>б) от состояния НС +</w:t>
      </w:r>
      <w:r w:rsidRPr="00C72194">
        <w:rPr>
          <w:color w:val="333333"/>
          <w:sz w:val="28"/>
          <w:szCs w:val="28"/>
          <w:lang w:val="ru-RU" w:eastAsia="ru-RU"/>
        </w:rPr>
        <w:br/>
        <w:t>в) от состояния кровяной систем</w:t>
      </w:r>
      <w:r w:rsidRPr="00C72194">
        <w:rPr>
          <w:color w:val="333333"/>
          <w:sz w:val="28"/>
          <w:szCs w:val="28"/>
          <w:lang w:val="ru-RU" w:eastAsia="ru-RU"/>
        </w:rPr>
        <w:t>ы</w:t>
      </w:r>
    </w:p>
    <w:p w:rsidR="00111EE3" w:rsidRPr="00C72194" w:rsidRDefault="002D778C" w:rsidP="00111EE3">
      <w:pPr>
        <w:shd w:val="clear" w:color="auto" w:fill="FFFFFF"/>
        <w:spacing w:after="375" w:line="360" w:lineRule="atLeast"/>
        <w:rPr>
          <w:color w:val="333333"/>
          <w:sz w:val="28"/>
          <w:szCs w:val="28"/>
          <w:lang w:val="ru-RU" w:eastAsia="ru-RU"/>
        </w:rPr>
      </w:pPr>
      <w:r>
        <w:rPr>
          <w:color w:val="333333"/>
          <w:sz w:val="28"/>
          <w:szCs w:val="28"/>
          <w:lang w:val="ru-RU" w:eastAsia="ru-RU"/>
        </w:rPr>
        <w:t>3</w:t>
      </w:r>
      <w:r w:rsidRPr="00C72194">
        <w:rPr>
          <w:color w:val="333333"/>
          <w:sz w:val="28"/>
          <w:szCs w:val="28"/>
          <w:lang w:val="ru-RU" w:eastAsia="ru-RU"/>
        </w:rPr>
        <w:t>. Гиперфункция передней доли гипофиза сопровождается:</w:t>
      </w:r>
      <w:r w:rsidRPr="00C72194">
        <w:rPr>
          <w:color w:val="333333"/>
          <w:sz w:val="28"/>
          <w:szCs w:val="28"/>
          <w:lang w:val="ru-RU" w:eastAsia="ru-RU"/>
        </w:rPr>
        <w:br/>
        <w:t>а) резкое нарушение роста</w:t>
      </w:r>
      <w:r w:rsidRPr="00C72194">
        <w:rPr>
          <w:color w:val="333333"/>
          <w:sz w:val="28"/>
          <w:szCs w:val="28"/>
          <w:lang w:val="ru-RU" w:eastAsia="ru-RU"/>
        </w:rPr>
        <w:br/>
        <w:t>б) физическое и половое недоразвитие</w:t>
      </w:r>
      <w:r w:rsidRPr="00C72194">
        <w:rPr>
          <w:color w:val="333333"/>
          <w:sz w:val="28"/>
          <w:szCs w:val="28"/>
          <w:lang w:val="ru-RU" w:eastAsia="ru-RU"/>
        </w:rPr>
        <w:br/>
        <w:t>в) усиление роста +</w:t>
      </w:r>
    </w:p>
    <w:p w:rsidR="00111EE3" w:rsidRPr="00C72194" w:rsidRDefault="002D778C" w:rsidP="00111EE3">
      <w:pPr>
        <w:shd w:val="clear" w:color="auto" w:fill="FFFFFF"/>
        <w:spacing w:after="375" w:line="360" w:lineRule="atLeast"/>
        <w:rPr>
          <w:color w:val="333333"/>
          <w:sz w:val="28"/>
          <w:szCs w:val="28"/>
          <w:lang w:val="ru-RU" w:eastAsia="ru-RU"/>
        </w:rPr>
      </w:pPr>
      <w:r>
        <w:rPr>
          <w:color w:val="333333"/>
          <w:sz w:val="28"/>
          <w:szCs w:val="28"/>
          <w:lang w:val="ru-RU" w:eastAsia="ru-RU"/>
        </w:rPr>
        <w:t>4</w:t>
      </w:r>
      <w:r w:rsidRPr="00C72194">
        <w:rPr>
          <w:color w:val="333333"/>
          <w:sz w:val="28"/>
          <w:szCs w:val="28"/>
          <w:lang w:val="ru-RU" w:eastAsia="ru-RU"/>
        </w:rPr>
        <w:t>. Гипофункция передней доли гипофиза сопровождается:</w:t>
      </w:r>
      <w:r w:rsidRPr="00C72194">
        <w:rPr>
          <w:color w:val="333333"/>
          <w:sz w:val="28"/>
          <w:szCs w:val="28"/>
          <w:lang w:val="ru-RU" w:eastAsia="ru-RU"/>
        </w:rPr>
        <w:br/>
        <w:t>а) усиление роста</w:t>
      </w:r>
      <w:r w:rsidRPr="00C72194">
        <w:rPr>
          <w:color w:val="333333"/>
          <w:sz w:val="28"/>
          <w:szCs w:val="28"/>
          <w:lang w:val="ru-RU" w:eastAsia="ru-RU"/>
        </w:rPr>
        <w:br/>
        <w:t>б) нарушение роста +</w:t>
      </w:r>
      <w:r w:rsidRPr="00C72194">
        <w:rPr>
          <w:color w:val="333333"/>
          <w:sz w:val="28"/>
          <w:szCs w:val="28"/>
          <w:lang w:val="ru-RU" w:eastAsia="ru-RU"/>
        </w:rPr>
        <w:br/>
        <w:t>в) диспропорция экстерь</w:t>
      </w:r>
      <w:r w:rsidRPr="00C72194">
        <w:rPr>
          <w:color w:val="333333"/>
          <w:sz w:val="28"/>
          <w:szCs w:val="28"/>
          <w:lang w:val="ru-RU" w:eastAsia="ru-RU"/>
        </w:rPr>
        <w:t>ера</w:t>
      </w:r>
    </w:p>
    <w:p w:rsidR="00FD7853" w:rsidRPr="00C72194" w:rsidRDefault="002D778C" w:rsidP="00FD7853">
      <w:pPr>
        <w:tabs>
          <w:tab w:val="left" w:pos="2436"/>
          <w:tab w:val="left" w:pos="5096"/>
          <w:tab w:val="left" w:pos="6355"/>
          <w:tab w:val="left" w:pos="8931"/>
        </w:tabs>
        <w:spacing w:after="160" w:line="259" w:lineRule="auto"/>
        <w:rPr>
          <w:rFonts w:eastAsia="Calibri"/>
          <w:sz w:val="28"/>
          <w:szCs w:val="28"/>
          <w:lang w:val="ru-RU"/>
        </w:rPr>
      </w:pPr>
      <w:r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lastRenderedPageBreak/>
        <w:t>5</w:t>
      </w:r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>. Для какого заболевания щитовидной железы характерно повышение уровня тироксина и трийодтиронина с одновременным снижением уровня тиреотропного гормона:</w:t>
      </w:r>
      <w:r w:rsidR="00111EE3" w:rsidRPr="00C72194">
        <w:rPr>
          <w:rFonts w:eastAsia="Calibri"/>
          <w:color w:val="333333"/>
          <w:sz w:val="28"/>
          <w:szCs w:val="28"/>
          <w:lang w:val="ru-RU"/>
        </w:rPr>
        <w:br/>
      </w:r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>а) эутиреоидный зоб</w:t>
      </w:r>
      <w:r w:rsidR="00111EE3" w:rsidRPr="00C72194">
        <w:rPr>
          <w:rFonts w:eastAsia="Calibri"/>
          <w:color w:val="333333"/>
          <w:sz w:val="28"/>
          <w:szCs w:val="28"/>
          <w:lang w:val="ru-RU"/>
        </w:rPr>
        <w:br/>
      </w:r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>б) диффузный токсический зоб +</w:t>
      </w:r>
      <w:r w:rsidR="00111EE3" w:rsidRPr="00C72194">
        <w:rPr>
          <w:rFonts w:eastAsia="Calibri"/>
          <w:color w:val="333333"/>
          <w:sz w:val="28"/>
          <w:szCs w:val="28"/>
          <w:lang w:val="ru-RU"/>
        </w:rPr>
        <w:br/>
      </w:r>
      <w:r w:rsidR="00111EE3" w:rsidRPr="00C72194">
        <w:rPr>
          <w:rFonts w:eastAsia="Calibri"/>
          <w:color w:val="333333"/>
          <w:sz w:val="28"/>
          <w:szCs w:val="28"/>
          <w:shd w:val="clear" w:color="auto" w:fill="FFFFFF"/>
          <w:lang w:val="ru-RU"/>
        </w:rPr>
        <w:t>в) гипотериоз</w:t>
      </w:r>
    </w:p>
    <w:sectPr w:rsidR="00FD7853" w:rsidRPr="00C72194" w:rsidSect="005471A0">
      <w:headerReference w:type="default" r:id="rId8"/>
      <w:pgSz w:w="11906" w:h="16838"/>
      <w:pgMar w:top="1134" w:right="141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78C" w:rsidRDefault="002D778C">
      <w:r>
        <w:separator/>
      </w:r>
    </w:p>
  </w:endnote>
  <w:endnote w:type="continuationSeparator" w:id="0">
    <w:p w:rsidR="002D778C" w:rsidRDefault="002D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78C" w:rsidRDefault="002D778C">
      <w:r>
        <w:separator/>
      </w:r>
    </w:p>
  </w:footnote>
  <w:footnote w:type="continuationSeparator" w:id="0">
    <w:p w:rsidR="002D778C" w:rsidRDefault="002D7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B20" w:rsidRDefault="002D778C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26477B">
      <w:rPr>
        <w:rFonts w:ascii="Times New Roman" w:hAnsi="Times New Roman"/>
        <w:noProof/>
        <w:sz w:val="24"/>
        <w:szCs w:val="24"/>
      </w:rPr>
      <w:t>4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AB2B20" w:rsidRDefault="00AB2B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F5F"/>
    <w:rsid w:val="0000087E"/>
    <w:rsid w:val="00014D4F"/>
    <w:rsid w:val="000A1A3C"/>
    <w:rsid w:val="00111EE3"/>
    <w:rsid w:val="0026477B"/>
    <w:rsid w:val="002D778C"/>
    <w:rsid w:val="003252CD"/>
    <w:rsid w:val="00374212"/>
    <w:rsid w:val="00556505"/>
    <w:rsid w:val="00561058"/>
    <w:rsid w:val="005B6E31"/>
    <w:rsid w:val="006C331E"/>
    <w:rsid w:val="006C39C8"/>
    <w:rsid w:val="00705FC4"/>
    <w:rsid w:val="007C3B52"/>
    <w:rsid w:val="0081581B"/>
    <w:rsid w:val="0099543B"/>
    <w:rsid w:val="009C38CD"/>
    <w:rsid w:val="009E0B19"/>
    <w:rsid w:val="00AB2B20"/>
    <w:rsid w:val="00BF23A7"/>
    <w:rsid w:val="00C72194"/>
    <w:rsid w:val="00D00668"/>
    <w:rsid w:val="00E05385"/>
    <w:rsid w:val="00E43BCE"/>
    <w:rsid w:val="00EC04DC"/>
    <w:rsid w:val="00F60F5F"/>
    <w:rsid w:val="00FC754B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6346996-4C5F-4984-9668-706D3F34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  <w:style w:type="paragraph" w:styleId="a5">
    <w:name w:val="Normal (Web)"/>
    <w:basedOn w:val="a"/>
    <w:uiPriority w:val="99"/>
    <w:semiHidden/>
    <w:unhideWhenUsed/>
    <w:rsid w:val="00FD49F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2023-06-27T14:23:00Z</dcterms:created>
  <dcterms:modified xsi:type="dcterms:W3CDTF">2023-06-27T14:23:00Z</dcterms:modified>
</cp:coreProperties>
</file>