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C0E" w:rsidRDefault="00E15FE2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613.45pt;height:84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B27C0E" w:rsidRDefault="00E15FE2">
      <w:pPr>
        <w:ind w:right="-200"/>
        <w:jc w:val="both"/>
        <w:sectPr w:rsidR="00B27C0E">
          <w:pgSz w:w="12260" w:h="169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881ACD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  <w:r>
        <w:rPr>
          <w:rFonts w:eastAsia="Calibri"/>
          <w:b/>
          <w:smallCaps/>
          <w:noProof/>
          <w:sz w:val="22"/>
          <w:szCs w:val="22"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-152400</wp:posOffset>
            </wp:positionH>
            <wp:positionV relativeFrom="paragraph">
              <wp:posOffset>-449580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881ACD" w:rsidRPr="008D75DD" w:rsidRDefault="00E15FE2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E15FE2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задачи </w:t>
      </w:r>
      <w:r w:rsidRPr="008D75DD">
        <w:rPr>
          <w:bCs/>
          <w:kern w:val="36"/>
          <w:lang w:val="ru-RU" w:eastAsia="ru-RU"/>
        </w:rPr>
        <w:t xml:space="preserve">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</w:t>
      </w:r>
      <w:r w:rsidRPr="008D75DD">
        <w:rPr>
          <w:bCs/>
          <w:kern w:val="36"/>
          <w:lang w:val="ru-RU" w:eastAsia="ru-RU"/>
        </w:rPr>
        <w:t>стратегию) и методы их выявления.</w:t>
      </w:r>
    </w:p>
    <w:p w:rsidR="00881ACD" w:rsidRPr="004441B2" w:rsidRDefault="00E15FE2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E15FE2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</w:t>
      </w:r>
      <w:r w:rsidRPr="004441B2">
        <w:rPr>
          <w:rFonts w:eastAsia="Calibri"/>
          <w:lang w:val="ru-RU"/>
        </w:rPr>
        <w:t>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E15FE2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 забо</w:t>
      </w:r>
      <w:r w:rsidRPr="004441B2">
        <w:rPr>
          <w:rFonts w:eastAsia="Calibri"/>
          <w:lang w:val="ru-RU"/>
        </w:rPr>
        <w:t>леваний и патологических процессов;</w:t>
      </w:r>
    </w:p>
    <w:p w:rsidR="00881ACD" w:rsidRPr="004441B2" w:rsidRDefault="00E15FE2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Pr="004441B2" w:rsidRDefault="00E15FE2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>ыш</w:t>
      </w:r>
      <w:r>
        <w:rPr>
          <w:rFonts w:eastAsia="Calibri"/>
          <w:lang w:val="ru-RU"/>
        </w:rPr>
        <w:t xml:space="preserve">ления </w:t>
      </w:r>
      <w:r w:rsidRPr="004441B2">
        <w:rPr>
          <w:rFonts w:eastAsia="Calibri"/>
          <w:lang w:val="ru-RU"/>
        </w:rPr>
        <w:t xml:space="preserve"> врача;</w:t>
      </w:r>
    </w:p>
    <w:p w:rsidR="00881ACD" w:rsidRPr="00782A81" w:rsidRDefault="00E15FE2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bookmarkStart w:id="6" w:name="_GoBack"/>
      <w:r w:rsidRPr="00782A81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 w:rsidRPr="00782A81"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782A81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 w:rsidRPr="00782A81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5"/>
      <w:r w:rsidRPr="00782A81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782A81" w:rsidRDefault="00E15FE2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782A81">
        <w:rPr>
          <w:rFonts w:eastAsia="Calibri"/>
          <w:lang w:val="ru-RU"/>
        </w:rPr>
        <w:t>Общая трудоемкость рабочей программы по специальности «</w:t>
      </w:r>
      <w:r w:rsidRPr="00782A81">
        <w:rPr>
          <w:rFonts w:eastAsia="Calibri"/>
          <w:lang w:val="ru-RU"/>
        </w:rPr>
        <w:t>Клиническая патофизиология</w:t>
      </w:r>
      <w:r w:rsidRPr="00782A81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81ACD" w:rsidRPr="00782A81" w:rsidRDefault="00E15FE2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782A81">
        <w:rPr>
          <w:rFonts w:eastAsia="Calibri"/>
          <w:lang w:val="ru-RU"/>
        </w:rPr>
        <w:t>Дисциплина Б</w:t>
      </w:r>
      <w:r w:rsidR="004408E2" w:rsidRPr="00782A81">
        <w:rPr>
          <w:rFonts w:eastAsia="Calibri"/>
          <w:lang w:val="ru-RU"/>
        </w:rPr>
        <w:t>1</w:t>
      </w:r>
      <w:r w:rsidRPr="00782A81">
        <w:rPr>
          <w:rFonts w:eastAsia="Calibri"/>
          <w:lang w:val="ru-RU"/>
        </w:rPr>
        <w:t>.</w:t>
      </w:r>
      <w:r w:rsidR="004408E2" w:rsidRPr="00782A81">
        <w:rPr>
          <w:rFonts w:eastAsia="Calibri"/>
          <w:lang w:val="ru-RU"/>
        </w:rPr>
        <w:t>Ч1.</w:t>
      </w:r>
      <w:r w:rsidRPr="00782A81">
        <w:rPr>
          <w:rFonts w:eastAsia="Calibri"/>
          <w:lang w:val="ru-RU"/>
        </w:rPr>
        <w:t>0</w:t>
      </w:r>
      <w:r w:rsidRPr="00782A81">
        <w:rPr>
          <w:rFonts w:eastAsia="Calibri"/>
          <w:lang w:val="ru-RU"/>
        </w:rPr>
        <w:t>9</w:t>
      </w:r>
      <w:r w:rsidRPr="00782A81">
        <w:rPr>
          <w:rFonts w:eastAsia="Calibri"/>
          <w:lang w:val="ru-RU"/>
        </w:rPr>
        <w:t xml:space="preserve"> «Клиническая </w:t>
      </w:r>
      <w:r w:rsidRPr="00782A81">
        <w:rPr>
          <w:rFonts w:eastAsia="Calibri"/>
          <w:lang w:val="ru-RU"/>
        </w:rPr>
        <w:t>патофизиология</w:t>
      </w:r>
      <w:r w:rsidRPr="00782A81">
        <w:rPr>
          <w:rFonts w:eastAsia="Calibri"/>
          <w:lang w:val="ru-RU"/>
        </w:rPr>
        <w:t xml:space="preserve">» относится к разделу Блок 1 Дисциплины (модули), Базовая часть высшего </w:t>
      </w:r>
      <w:r w:rsidRPr="00782A81">
        <w:rPr>
          <w:rFonts w:eastAsia="Calibri"/>
          <w:lang w:val="ru-RU"/>
        </w:rPr>
        <w:t xml:space="preserve">образования по специальности ординатуры </w:t>
      </w:r>
      <w:r w:rsidR="006D61A5" w:rsidRPr="00782A81">
        <w:rPr>
          <w:rFonts w:eastAsia="Calibri"/>
          <w:lang w:val="ru-RU"/>
        </w:rPr>
        <w:t>31.08.67 Хирургия</w:t>
      </w:r>
      <w:r w:rsidR="0064773B" w:rsidRPr="00782A81">
        <w:rPr>
          <w:rFonts w:eastAsia="Calibri"/>
          <w:lang w:val="ru-RU"/>
        </w:rPr>
        <w:t xml:space="preserve">. </w:t>
      </w:r>
      <w:r w:rsidRPr="00782A81">
        <w:rPr>
          <w:rFonts w:eastAsia="Calibri"/>
          <w:lang w:val="ru-RU"/>
        </w:rPr>
        <w:t xml:space="preserve">Дисциплина (модуль) изучается во  </w:t>
      </w:r>
      <w:r w:rsidRPr="00782A81">
        <w:rPr>
          <w:rFonts w:eastAsia="Calibri"/>
          <w:lang w:val="ru-RU"/>
        </w:rPr>
        <w:t>1</w:t>
      </w:r>
      <w:r w:rsidRPr="00782A81">
        <w:rPr>
          <w:rFonts w:eastAsia="Calibri"/>
          <w:lang w:val="ru-RU"/>
        </w:rPr>
        <w:t xml:space="preserve"> семестре. </w:t>
      </w:r>
    </w:p>
    <w:p w:rsidR="00881ACD" w:rsidRPr="00782A81" w:rsidRDefault="00E15FE2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782A81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782A81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881ACD" w:rsidRPr="00782A81" w:rsidRDefault="00E15FE2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782A81">
        <w:rPr>
          <w:b/>
          <w:bCs/>
          <w:i/>
          <w:lang w:val="ru-RU" w:eastAsia="ru-RU"/>
        </w:rPr>
        <w:t>Знать:</w:t>
      </w:r>
    </w:p>
    <w:p w:rsidR="00881ACD" w:rsidRDefault="00E15FE2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782A81">
        <w:rPr>
          <w:lang w:val="ru-RU" w:eastAsia="ru-RU"/>
        </w:rPr>
        <w:t>понятия этиологии, патогенеза, морфогенеза, патоморфоза болезни, нозологии,</w:t>
      </w:r>
      <w:r>
        <w:rPr>
          <w:lang w:val="ru-RU" w:eastAsia="ru-RU"/>
        </w:rPr>
        <w:t xml:space="preserve"> </w:t>
      </w:r>
      <w:bookmarkEnd w:id="6"/>
      <w:r>
        <w:rPr>
          <w:lang w:val="ru-RU" w:eastAsia="ru-RU"/>
        </w:rPr>
        <w:t>принцип классификации болезней, основные понятия общей нозологии (ПК-5);</w:t>
      </w:r>
    </w:p>
    <w:p w:rsidR="00881ACD" w:rsidRDefault="00E15FE2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нарушений функций органов и с</w:t>
      </w:r>
      <w:r>
        <w:rPr>
          <w:lang w:val="ru-RU" w:eastAsia="ru-RU"/>
        </w:rPr>
        <w:t>истем (ПК-5);</w:t>
      </w:r>
    </w:p>
    <w:p w:rsidR="00881ACD" w:rsidRDefault="00E15FE2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этапы, типы, генетический контроль иммунного ответа, методы иммунодиагностики (П</w:t>
      </w:r>
      <w:r>
        <w:rPr>
          <w:lang w:val="ru-RU" w:eastAsia="ru-RU"/>
        </w:rPr>
        <w:t>К-5);</w:t>
      </w:r>
    </w:p>
    <w:p w:rsidR="00881ACD" w:rsidRDefault="00E15FE2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881ACD" w:rsidRDefault="00E15FE2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интерпретировать результаты оценки иммунного статуса по тестам 1- го уровня (ПК-5, УК-1);</w:t>
      </w:r>
    </w:p>
    <w:p w:rsidR="00881ACD" w:rsidRDefault="00E15FE2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интерпретировать результаты основных диагно</w:t>
      </w:r>
      <w:r>
        <w:rPr>
          <w:lang w:val="ru-RU" w:eastAsia="ru-RU"/>
        </w:rPr>
        <w:t>стических аллергологических проб (ПК-5, УК-1);</w:t>
      </w:r>
    </w:p>
    <w:p w:rsidR="00881ACD" w:rsidRDefault="00E15FE2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881ACD" w:rsidRDefault="00E15FE2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навыками постановки предварительного диагноза на основании результатов биохимических исследований биологических жидкостей человека (ПК-5);</w:t>
      </w:r>
      <w:r>
        <w:rPr>
          <w:i/>
          <w:lang w:val="ru-RU" w:eastAsia="ru-RU"/>
        </w:rPr>
        <w:t xml:space="preserve"> </w:t>
      </w:r>
    </w:p>
    <w:p w:rsidR="00881ACD" w:rsidRDefault="00E15FE2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</w:t>
      </w:r>
      <w:r>
        <w:rPr>
          <w:lang w:val="ru-RU" w:eastAsia="ru-RU"/>
        </w:rPr>
        <w:t>ий болезней (ПК-5, УК-1)</w:t>
      </w:r>
    </w:p>
    <w:p w:rsidR="00881ACD" w:rsidRPr="00E5464D" w:rsidRDefault="00E15FE2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E15FE2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7C0E" w:rsidRPr="00782A81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Номер </w:t>
            </w:r>
            <w:r w:rsidRPr="00E5464D">
              <w:rPr>
                <w:rFonts w:eastAsia="Calibri"/>
                <w:b/>
                <w:lang w:val="ru-RU"/>
              </w:rPr>
              <w:t>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B27C0E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Практические (семинарские) </w:t>
            </w:r>
            <w:r w:rsidRPr="00E5464D">
              <w:rPr>
                <w:rFonts w:eastAsia="Calibri"/>
                <w:b/>
                <w:lang w:val="ru-RU"/>
              </w:rPr>
              <w:t>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B27C0E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B27C0E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B27C0E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15FE2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881ACD" w:rsidRPr="00E5464D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1ACD" w:rsidRPr="00850BB9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7C0E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636170" w:rsidRDefault="00E15FE2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1ACD" w:rsidRPr="00636170" w:rsidRDefault="00E15FE2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636170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B27C0E" w:rsidTr="00F319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B27C0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1ACD" w:rsidRPr="00636170" w:rsidRDefault="00E15FE2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1ACD" w:rsidRPr="00636170" w:rsidRDefault="00E15FE2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B27C0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</w:t>
            </w:r>
            <w:r w:rsidRPr="00636170">
              <w:rPr>
                <w:lang w:val="ru-RU"/>
              </w:rPr>
              <w:t xml:space="preserve">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1ACD" w:rsidRPr="00636170" w:rsidRDefault="00E15FE2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Патогенетические основы коррекции ДВС-синд</w:t>
            </w:r>
            <w:r w:rsidRPr="00636170">
              <w:rPr>
                <w:rFonts w:eastAsia="Calibri"/>
                <w:lang w:val="ru-RU"/>
              </w:rPr>
              <w:t>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механизм развития болезней и патологических проц</w:t>
            </w:r>
            <w:r w:rsidRPr="00636170">
              <w:rPr>
                <w:lang w:val="ru-RU"/>
              </w:rPr>
              <w:t xml:space="preserve">ессов.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881ACD" w:rsidRPr="00636170" w:rsidRDefault="00E15FE2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</w:t>
            </w:r>
            <w:r w:rsidRPr="00636170">
              <w:rPr>
                <w:lang w:val="ru-RU"/>
              </w:rPr>
              <w:t>иология рестриктивного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881ACD" w:rsidRPr="00636170" w:rsidRDefault="00E15FE2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881ACD" w:rsidRPr="00636170" w:rsidRDefault="00881ACD" w:rsidP="00F319E0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B27C0E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E15FE2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E15FE2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B27C0E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B27C0E" w:rsidTr="00F319E0">
        <w:trPr>
          <w:jc w:val="center"/>
        </w:trPr>
        <w:tc>
          <w:tcPr>
            <w:tcW w:w="437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E15FE2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B27C0E" w:rsidRPr="00782A81" w:rsidTr="00F319E0">
        <w:trPr>
          <w:jc w:val="center"/>
        </w:trPr>
        <w:tc>
          <w:tcPr>
            <w:tcW w:w="437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>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B27C0E" w:rsidTr="00F319E0">
        <w:trPr>
          <w:jc w:val="center"/>
        </w:trPr>
        <w:tc>
          <w:tcPr>
            <w:tcW w:w="437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B27C0E" w:rsidRPr="00782A81" w:rsidTr="00F319E0">
        <w:trPr>
          <w:jc w:val="center"/>
        </w:trPr>
        <w:tc>
          <w:tcPr>
            <w:tcW w:w="437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B27C0E" w:rsidTr="00F319E0">
        <w:trPr>
          <w:jc w:val="center"/>
        </w:trPr>
        <w:tc>
          <w:tcPr>
            <w:tcW w:w="437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E15FE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B27C0E" w:rsidRPr="00782A81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E15FE2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E15FE2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B27C0E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B27C0E" w:rsidRPr="00782A8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B27C0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B27C0E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15FE2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промежуточной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E15FE2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B27C0E" w:rsidTr="00F319E0">
        <w:tc>
          <w:tcPr>
            <w:tcW w:w="7621" w:type="dxa"/>
            <w:gridSpan w:val="2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B27C0E" w:rsidTr="00F319E0">
        <w:tc>
          <w:tcPr>
            <w:tcW w:w="9747" w:type="dxa"/>
            <w:gridSpan w:val="3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B27C0E" w:rsidTr="00F319E0">
        <w:tc>
          <w:tcPr>
            <w:tcW w:w="2802" w:type="dxa"/>
            <w:vMerge w:val="restart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Текущий</w:t>
            </w:r>
          </w:p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E15FE2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E15FE2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B27C0E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15FE2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B27C0E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15FE2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B27C0E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15FE2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B27C0E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15FE2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B27C0E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15FE2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B27C0E" w:rsidTr="00F319E0">
        <w:tc>
          <w:tcPr>
            <w:tcW w:w="2802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E15FE2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E15FE2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E15FE2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7C0E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B27C0E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B27C0E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B27C0E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E15FE2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E15FE2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E15FE2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914286" w:rsidRPr="005E1D46" w:rsidRDefault="00E15FE2" w:rsidP="00914286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 xml:space="preserve">Консультант </w:t>
      </w:r>
      <w:r w:rsidRPr="005E3F9E">
        <w:rPr>
          <w:rFonts w:eastAsia="Calibri"/>
          <w:bCs/>
          <w:lang w:val="ru-RU"/>
        </w:rPr>
        <w:lastRenderedPageBreak/>
        <w:t>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 учебник / П. Ф. Литвицкий. - 5-е изд. , перераб. и доп. - Москва : ГЭОТАР-Медиа, 2016. - 7</w:t>
      </w:r>
      <w:r w:rsidRPr="005E3F9E">
        <w:rPr>
          <w:rFonts w:eastAsia="Calibri"/>
          <w:bCs/>
          <w:lang w:val="ru-RU"/>
        </w:rPr>
        <w:t xml:space="preserve">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лекции</w:t>
      </w:r>
      <w:r w:rsidRPr="005E1D46">
        <w:rPr>
          <w:rFonts w:eastAsia="Calibri"/>
          <w:bCs/>
          <w:lang w:val="ru-RU"/>
        </w:rPr>
        <w:t>, тесты, задачи [Электронный ресурс]: 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</w:t>
      </w:r>
      <w:r w:rsidRPr="005E1D46">
        <w:rPr>
          <w:rFonts w:eastAsia="Calibri"/>
          <w:bCs/>
          <w:lang w:val="ru-RU"/>
        </w:rPr>
        <w:t>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Уразовой - 4-е изд., перераб. и доп. - М.: </w:t>
      </w:r>
      <w:r w:rsidRPr="005E1D46">
        <w:rPr>
          <w:rFonts w:eastAsia="Calibri"/>
          <w:bCs/>
          <w:lang w:val="ru-RU"/>
        </w:rPr>
        <w:t>ГЭОТАР-Медиа,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</w:t>
      </w:r>
      <w:r w:rsidRPr="005E1D46">
        <w:rPr>
          <w:rFonts w:eastAsia="Calibri"/>
          <w:bCs/>
          <w:lang w:val="ru-RU"/>
        </w:rPr>
        <w:t>бник / Под ред. В.В. Новицкого, Е.Д. Гольдберга,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Pr="005E1D46" w:rsidRDefault="00E15FE2" w:rsidP="00914286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</w:t>
      </w:r>
      <w:r w:rsidRPr="005E1D46">
        <w:rPr>
          <w:rFonts w:eastAsia="Calibri"/>
          <w:bCs/>
          <w:lang w:val="ru-RU"/>
        </w:rPr>
        <w:t xml:space="preserve">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</w:t>
      </w:r>
      <w:r w:rsidRPr="005E1D46">
        <w:rPr>
          <w:rFonts w:eastAsia="Calibri"/>
          <w:bCs/>
          <w:lang w:val="ru-RU"/>
        </w:rPr>
        <w:t xml:space="preserve">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</w:t>
      </w:r>
      <w:r w:rsidRPr="005E1D46">
        <w:rPr>
          <w:rFonts w:eastAsia="Calibri"/>
          <w:bCs/>
          <w:lang w:val="ru-RU"/>
        </w:rPr>
        <w:t>тронный ресурс]: м</w:t>
      </w:r>
      <w:r>
        <w:rPr>
          <w:rFonts w:eastAsia="Calibri"/>
          <w:bCs/>
          <w:lang w:val="ru-RU"/>
        </w:rPr>
        <w:t>онография / Ю.Л. Кислицын.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</w:t>
      </w:r>
      <w:r w:rsidRPr="005E1D46">
        <w:rPr>
          <w:rFonts w:eastAsia="Calibri"/>
          <w:bCs/>
          <w:lang w:val="ru-RU"/>
        </w:rPr>
        <w:t xml:space="preserve"> Патофизиология. Основные понятия. 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 xml:space="preserve">– ЭБС «Консультант </w:t>
      </w:r>
      <w:r>
        <w:rPr>
          <w:rFonts w:eastAsia="Calibri"/>
          <w:bCs/>
          <w:lang w:val="ru-RU"/>
        </w:rPr>
        <w:t>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</w:t>
      </w:r>
      <w:r w:rsidRPr="005E1D46">
        <w:rPr>
          <w:rFonts w:eastAsia="Calibri"/>
          <w:bCs/>
          <w:lang w:val="ru-RU"/>
        </w:rPr>
        <w:t>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</w:t>
      </w:r>
      <w:r w:rsidRPr="005E1D46">
        <w:rPr>
          <w:rFonts w:eastAsia="Calibri"/>
          <w:bCs/>
          <w:lang w:val="ru-RU"/>
        </w:rPr>
        <w:t>ГЭОТАР-Медиа, 2009. - 368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E15FE2" w:rsidP="0091428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lastRenderedPageBreak/>
        <w:t>8 Перечень ресурсов информационно-телекоммуникационной сети «Интернет»</w:t>
      </w:r>
      <w:r w:rsidRPr="005E1D46">
        <w:rPr>
          <w:rFonts w:eastAsia="Calibri"/>
          <w:b/>
          <w:bCs/>
          <w:sz w:val="28"/>
          <w:szCs w:val="28"/>
          <w:lang w:val="ru-RU"/>
        </w:rPr>
        <w:t>, необходимых для освоения дисциплины (модуля)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</w:t>
      </w:r>
      <w:r w:rsidRPr="005E1D46">
        <w:rPr>
          <w:rFonts w:eastAsia="Calibri"/>
          <w:bCs/>
          <w:lang w:val="ru-RU"/>
        </w:rPr>
        <w:t>логия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E15FE2" w:rsidP="0091428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E15FE2" w:rsidP="00914286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</w:t>
      </w:r>
      <w:r w:rsidRPr="005E1D46">
        <w:rPr>
          <w:rFonts w:eastAsia="Calibri"/>
          <w:b/>
          <w:bCs/>
          <w:lang w:val="ru-RU"/>
        </w:rPr>
        <w:t xml:space="preserve">ицензионного и свободно распространяемого программного обеспечения, в том числе отечественного производства 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презентаций Microsoft</w:t>
      </w:r>
      <w:r w:rsidRPr="005E1D46">
        <w:rPr>
          <w:rFonts w:eastAsia="Calibri"/>
          <w:bCs/>
          <w:lang w:val="ru-RU"/>
        </w:rPr>
        <w:t>PowerPoint;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E15FE2" w:rsidP="00914286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914286" w:rsidRPr="005E1D46" w:rsidRDefault="00E15FE2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r w:rsidRPr="005E1D46">
        <w:rPr>
          <w:rFonts w:eastAsia="Calibri"/>
          <w:bCs/>
          <w:lang w:val="ru-RU"/>
        </w:rPr>
        <w:t>http://www.medical-enc.ru – Медицинская энциклопедия.</w:t>
      </w:r>
    </w:p>
    <w:p w:rsidR="00914286" w:rsidRPr="007704EF" w:rsidRDefault="00914286" w:rsidP="00914286">
      <w:pPr>
        <w:rPr>
          <w:rFonts w:eastAsia="Calibri"/>
          <w:lang w:val="ru-RU"/>
        </w:rPr>
      </w:pPr>
    </w:p>
    <w:p w:rsidR="00F9255D" w:rsidRDefault="00F9255D" w:rsidP="00914286">
      <w:pPr>
        <w:ind w:firstLine="720"/>
        <w:jc w:val="both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E2" w:rsidRDefault="00E15FE2">
      <w:r>
        <w:separator/>
      </w:r>
    </w:p>
  </w:endnote>
  <w:endnote w:type="continuationSeparator" w:id="0">
    <w:p w:rsidR="00E15FE2" w:rsidRDefault="00E1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E2" w:rsidRDefault="00E15FE2">
      <w:r>
        <w:separator/>
      </w:r>
    </w:p>
  </w:footnote>
  <w:footnote w:type="continuationSeparator" w:id="0">
    <w:p w:rsidR="00E15FE2" w:rsidRDefault="00E15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E15FE2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782A81">
      <w:rPr>
        <w:noProof/>
      </w:rPr>
      <w:t>4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88F6E7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327C0DDE" w:tentative="1">
      <w:start w:val="1"/>
      <w:numFmt w:val="lowerLetter"/>
      <w:lvlText w:val="%2."/>
      <w:lvlJc w:val="left"/>
      <w:pPr>
        <w:ind w:left="1440" w:hanging="360"/>
      </w:pPr>
    </w:lvl>
    <w:lvl w:ilvl="2" w:tplc="6D36483A" w:tentative="1">
      <w:start w:val="1"/>
      <w:numFmt w:val="lowerRoman"/>
      <w:lvlText w:val="%3."/>
      <w:lvlJc w:val="right"/>
      <w:pPr>
        <w:ind w:left="2160" w:hanging="180"/>
      </w:pPr>
    </w:lvl>
    <w:lvl w:ilvl="3" w:tplc="29EEF49C" w:tentative="1">
      <w:start w:val="1"/>
      <w:numFmt w:val="decimal"/>
      <w:lvlText w:val="%4."/>
      <w:lvlJc w:val="left"/>
      <w:pPr>
        <w:ind w:left="2880" w:hanging="360"/>
      </w:pPr>
    </w:lvl>
    <w:lvl w:ilvl="4" w:tplc="A5D4267A" w:tentative="1">
      <w:start w:val="1"/>
      <w:numFmt w:val="lowerLetter"/>
      <w:lvlText w:val="%5."/>
      <w:lvlJc w:val="left"/>
      <w:pPr>
        <w:ind w:left="3600" w:hanging="360"/>
      </w:pPr>
    </w:lvl>
    <w:lvl w:ilvl="5" w:tplc="A1B42048" w:tentative="1">
      <w:start w:val="1"/>
      <w:numFmt w:val="lowerRoman"/>
      <w:lvlText w:val="%6."/>
      <w:lvlJc w:val="right"/>
      <w:pPr>
        <w:ind w:left="4320" w:hanging="180"/>
      </w:pPr>
    </w:lvl>
    <w:lvl w:ilvl="6" w:tplc="D38403A8" w:tentative="1">
      <w:start w:val="1"/>
      <w:numFmt w:val="decimal"/>
      <w:lvlText w:val="%7."/>
      <w:lvlJc w:val="left"/>
      <w:pPr>
        <w:ind w:left="5040" w:hanging="360"/>
      </w:pPr>
    </w:lvl>
    <w:lvl w:ilvl="7" w:tplc="A880B8BC" w:tentative="1">
      <w:start w:val="1"/>
      <w:numFmt w:val="lowerLetter"/>
      <w:lvlText w:val="%8."/>
      <w:lvlJc w:val="left"/>
      <w:pPr>
        <w:ind w:left="5760" w:hanging="360"/>
      </w:pPr>
    </w:lvl>
    <w:lvl w:ilvl="8" w:tplc="99C0D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D884CE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E901E62" w:tentative="1">
      <w:start w:val="1"/>
      <w:numFmt w:val="lowerLetter"/>
      <w:lvlText w:val="%2."/>
      <w:lvlJc w:val="left"/>
      <w:pPr>
        <w:ind w:left="1440" w:hanging="360"/>
      </w:pPr>
    </w:lvl>
    <w:lvl w:ilvl="2" w:tplc="EF0C22E8" w:tentative="1">
      <w:start w:val="1"/>
      <w:numFmt w:val="lowerRoman"/>
      <w:lvlText w:val="%3."/>
      <w:lvlJc w:val="right"/>
      <w:pPr>
        <w:ind w:left="2160" w:hanging="180"/>
      </w:pPr>
    </w:lvl>
    <w:lvl w:ilvl="3" w:tplc="6518BEC0" w:tentative="1">
      <w:start w:val="1"/>
      <w:numFmt w:val="decimal"/>
      <w:lvlText w:val="%4."/>
      <w:lvlJc w:val="left"/>
      <w:pPr>
        <w:ind w:left="2880" w:hanging="360"/>
      </w:pPr>
    </w:lvl>
    <w:lvl w:ilvl="4" w:tplc="3EB4DA0E" w:tentative="1">
      <w:start w:val="1"/>
      <w:numFmt w:val="lowerLetter"/>
      <w:lvlText w:val="%5."/>
      <w:lvlJc w:val="left"/>
      <w:pPr>
        <w:ind w:left="3600" w:hanging="360"/>
      </w:pPr>
    </w:lvl>
    <w:lvl w:ilvl="5" w:tplc="E20EE7D0" w:tentative="1">
      <w:start w:val="1"/>
      <w:numFmt w:val="lowerRoman"/>
      <w:lvlText w:val="%6."/>
      <w:lvlJc w:val="right"/>
      <w:pPr>
        <w:ind w:left="4320" w:hanging="180"/>
      </w:pPr>
    </w:lvl>
    <w:lvl w:ilvl="6" w:tplc="A4C81EB8" w:tentative="1">
      <w:start w:val="1"/>
      <w:numFmt w:val="decimal"/>
      <w:lvlText w:val="%7."/>
      <w:lvlJc w:val="left"/>
      <w:pPr>
        <w:ind w:left="5040" w:hanging="360"/>
      </w:pPr>
    </w:lvl>
    <w:lvl w:ilvl="7" w:tplc="FEF8229C" w:tentative="1">
      <w:start w:val="1"/>
      <w:numFmt w:val="lowerLetter"/>
      <w:lvlText w:val="%8."/>
      <w:lvlJc w:val="left"/>
      <w:pPr>
        <w:ind w:left="5760" w:hanging="360"/>
      </w:pPr>
    </w:lvl>
    <w:lvl w:ilvl="8" w:tplc="1C6EFD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83C6A0D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54BBB6" w:tentative="1">
      <w:start w:val="1"/>
      <w:numFmt w:val="lowerLetter"/>
      <w:lvlText w:val="%2."/>
      <w:lvlJc w:val="left"/>
      <w:pPr>
        <w:ind w:left="1440" w:hanging="360"/>
      </w:pPr>
    </w:lvl>
    <w:lvl w:ilvl="2" w:tplc="AFB894F4" w:tentative="1">
      <w:start w:val="1"/>
      <w:numFmt w:val="lowerRoman"/>
      <w:lvlText w:val="%3."/>
      <w:lvlJc w:val="right"/>
      <w:pPr>
        <w:ind w:left="2160" w:hanging="180"/>
      </w:pPr>
    </w:lvl>
    <w:lvl w:ilvl="3" w:tplc="C860A1E8" w:tentative="1">
      <w:start w:val="1"/>
      <w:numFmt w:val="decimal"/>
      <w:lvlText w:val="%4."/>
      <w:lvlJc w:val="left"/>
      <w:pPr>
        <w:ind w:left="2880" w:hanging="360"/>
      </w:pPr>
    </w:lvl>
    <w:lvl w:ilvl="4" w:tplc="B5284FB8" w:tentative="1">
      <w:start w:val="1"/>
      <w:numFmt w:val="lowerLetter"/>
      <w:lvlText w:val="%5."/>
      <w:lvlJc w:val="left"/>
      <w:pPr>
        <w:ind w:left="3600" w:hanging="360"/>
      </w:pPr>
    </w:lvl>
    <w:lvl w:ilvl="5" w:tplc="AD24CEA2" w:tentative="1">
      <w:start w:val="1"/>
      <w:numFmt w:val="lowerRoman"/>
      <w:lvlText w:val="%6."/>
      <w:lvlJc w:val="right"/>
      <w:pPr>
        <w:ind w:left="4320" w:hanging="180"/>
      </w:pPr>
    </w:lvl>
    <w:lvl w:ilvl="6" w:tplc="B1BCEB60" w:tentative="1">
      <w:start w:val="1"/>
      <w:numFmt w:val="decimal"/>
      <w:lvlText w:val="%7."/>
      <w:lvlJc w:val="left"/>
      <w:pPr>
        <w:ind w:left="5040" w:hanging="360"/>
      </w:pPr>
    </w:lvl>
    <w:lvl w:ilvl="7" w:tplc="6A2812F0" w:tentative="1">
      <w:start w:val="1"/>
      <w:numFmt w:val="lowerLetter"/>
      <w:lvlText w:val="%8."/>
      <w:lvlJc w:val="left"/>
      <w:pPr>
        <w:ind w:left="5760" w:hanging="360"/>
      </w:pPr>
    </w:lvl>
    <w:lvl w:ilvl="8" w:tplc="F9A61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670E1E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0C87AD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D5C5B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2CE65A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CA92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AC27E6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F6ADE1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1C5BD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BA2F8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C0E"/>
    <w:rsid w:val="00306A1A"/>
    <w:rsid w:val="003E5D5C"/>
    <w:rsid w:val="00430A0D"/>
    <w:rsid w:val="004408E2"/>
    <w:rsid w:val="004441B2"/>
    <w:rsid w:val="00497ADF"/>
    <w:rsid w:val="004E266E"/>
    <w:rsid w:val="005E1D46"/>
    <w:rsid w:val="005E3F9E"/>
    <w:rsid w:val="00636170"/>
    <w:rsid w:val="0064773B"/>
    <w:rsid w:val="006D61A5"/>
    <w:rsid w:val="007704EF"/>
    <w:rsid w:val="00782A81"/>
    <w:rsid w:val="007C585D"/>
    <w:rsid w:val="0082164D"/>
    <w:rsid w:val="00850BB9"/>
    <w:rsid w:val="00881ACD"/>
    <w:rsid w:val="008D75DD"/>
    <w:rsid w:val="00914286"/>
    <w:rsid w:val="00B27C0E"/>
    <w:rsid w:val="00D8791B"/>
    <w:rsid w:val="00E15FE2"/>
    <w:rsid w:val="00E5464D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05C7A30-BE62-40DF-A723-66224809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2332</Words>
  <Characters>13299</Characters>
  <Application>Microsoft Office Word</Application>
  <DocSecurity>0</DocSecurity>
  <Lines>110</Lines>
  <Paragraphs>31</Paragraphs>
  <ScaleCrop>false</ScaleCrop>
  <Company/>
  <LinksUpToDate>false</LinksUpToDate>
  <CharactersWithSpaces>15600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2023-06-27T14:37:00Z</dcterms:created>
  <dcterms:modified xsi:type="dcterms:W3CDTF">2023-06-27T14:38:00Z</dcterms:modified>
</cp:coreProperties>
</file>