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6C6B" w:rsidRDefault="00EF6C6B" w:rsidP="00B806AA">
      <w:pPr>
        <w:spacing w:after="0"/>
        <w:jc w:val="center"/>
        <w:rPr>
          <w:rFonts w:ascii="Times New Roman" w:hAnsi="Times New Roman" w:cs="Times New Roman"/>
          <w:sz w:val="28"/>
        </w:rPr>
      </w:pPr>
      <w:r>
        <w:rPr>
          <w:rFonts w:ascii="Times New Roman" w:hAnsi="Times New Roman" w:cs="Times New Roman"/>
          <w:sz w:val="28"/>
        </w:rPr>
        <w:t>МИНОБРНАУКИ РОССИИ</w:t>
      </w:r>
    </w:p>
    <w:p w:rsidR="00EF6C6B" w:rsidRDefault="00EF6C6B" w:rsidP="00EF6C6B">
      <w:pPr>
        <w:spacing w:after="0"/>
        <w:jc w:val="center"/>
        <w:rPr>
          <w:rFonts w:ascii="Times New Roman" w:hAnsi="Times New Roman" w:cs="Times New Roman"/>
          <w:sz w:val="28"/>
        </w:rPr>
      </w:pPr>
      <w:r>
        <w:rPr>
          <w:rFonts w:ascii="Times New Roman" w:hAnsi="Times New Roman" w:cs="Times New Roman"/>
          <w:sz w:val="28"/>
        </w:rPr>
        <w:t>Федеральное государственное бюджетное</w:t>
      </w:r>
    </w:p>
    <w:p w:rsidR="00EF6C6B" w:rsidRDefault="00EF6C6B" w:rsidP="00EF6C6B">
      <w:pPr>
        <w:spacing w:after="0"/>
        <w:jc w:val="center"/>
        <w:rPr>
          <w:rFonts w:ascii="Times New Roman" w:hAnsi="Times New Roman" w:cs="Times New Roman"/>
          <w:sz w:val="28"/>
        </w:rPr>
      </w:pPr>
      <w:r>
        <w:rPr>
          <w:rFonts w:ascii="Times New Roman" w:hAnsi="Times New Roman" w:cs="Times New Roman"/>
          <w:sz w:val="28"/>
        </w:rPr>
        <w:t>образовательное учреждение высшего образования</w:t>
      </w:r>
    </w:p>
    <w:p w:rsidR="00EF6C6B" w:rsidRDefault="00EF6C6B" w:rsidP="00EF6C6B">
      <w:pPr>
        <w:spacing w:after="0"/>
        <w:jc w:val="center"/>
        <w:rPr>
          <w:rFonts w:ascii="Times New Roman" w:hAnsi="Times New Roman" w:cs="Times New Roman"/>
          <w:sz w:val="28"/>
        </w:rPr>
      </w:pPr>
      <w:r>
        <w:rPr>
          <w:rFonts w:ascii="Times New Roman" w:hAnsi="Times New Roman" w:cs="Times New Roman"/>
          <w:sz w:val="28"/>
        </w:rPr>
        <w:t>«Тульский государственный университет»</w:t>
      </w:r>
    </w:p>
    <w:p w:rsidR="00EF6C6B" w:rsidRDefault="00EF6C6B" w:rsidP="00EF6C6B">
      <w:pPr>
        <w:spacing w:after="0"/>
        <w:jc w:val="center"/>
        <w:rPr>
          <w:rFonts w:ascii="Times New Roman" w:hAnsi="Times New Roman" w:cs="Times New Roman"/>
          <w:sz w:val="28"/>
        </w:rPr>
      </w:pPr>
    </w:p>
    <w:p w:rsidR="00EF6C6B" w:rsidRDefault="00EF6C6B" w:rsidP="00EF6C6B">
      <w:pPr>
        <w:spacing w:after="0"/>
        <w:jc w:val="center"/>
        <w:rPr>
          <w:rFonts w:ascii="Times New Roman" w:hAnsi="Times New Roman" w:cs="Times New Roman"/>
          <w:sz w:val="28"/>
        </w:rPr>
      </w:pPr>
      <w:r>
        <w:rPr>
          <w:rFonts w:ascii="Times New Roman" w:hAnsi="Times New Roman" w:cs="Times New Roman"/>
          <w:sz w:val="28"/>
        </w:rPr>
        <w:t>Институт права и управления</w:t>
      </w:r>
    </w:p>
    <w:p w:rsidR="00EF6C6B" w:rsidRDefault="00EF6C6B" w:rsidP="00EF6C6B">
      <w:pPr>
        <w:spacing w:after="0"/>
        <w:jc w:val="center"/>
        <w:rPr>
          <w:rFonts w:ascii="Times New Roman" w:hAnsi="Times New Roman" w:cs="Times New Roman"/>
          <w:sz w:val="28"/>
        </w:rPr>
      </w:pPr>
      <w:r>
        <w:rPr>
          <w:rFonts w:ascii="Times New Roman" w:hAnsi="Times New Roman" w:cs="Times New Roman"/>
          <w:sz w:val="28"/>
        </w:rPr>
        <w:t xml:space="preserve">Кафедра «Гражданское и </w:t>
      </w:r>
      <w:r w:rsidR="004A7CF7">
        <w:rPr>
          <w:rFonts w:ascii="Times New Roman" w:hAnsi="Times New Roman" w:cs="Times New Roman"/>
          <w:sz w:val="28"/>
        </w:rPr>
        <w:t>предпринимательское</w:t>
      </w:r>
      <w:r>
        <w:rPr>
          <w:rFonts w:ascii="Times New Roman" w:hAnsi="Times New Roman" w:cs="Times New Roman"/>
          <w:sz w:val="28"/>
        </w:rPr>
        <w:t xml:space="preserve"> право»</w:t>
      </w:r>
    </w:p>
    <w:p w:rsidR="00EF6C6B" w:rsidRDefault="00EF6C6B" w:rsidP="00EF6C6B">
      <w:pPr>
        <w:spacing w:after="0"/>
        <w:jc w:val="center"/>
        <w:rPr>
          <w:rFonts w:ascii="Times New Roman" w:hAnsi="Times New Roman" w:cs="Times New Roman"/>
          <w:sz w:val="28"/>
        </w:rPr>
      </w:pPr>
    </w:p>
    <w:p w:rsidR="00EF6C6B" w:rsidRDefault="007A1B4D" w:rsidP="00250638">
      <w:pPr>
        <w:spacing w:after="0"/>
        <w:jc w:val="right"/>
        <w:rPr>
          <w:rFonts w:ascii="Times New Roman" w:hAnsi="Times New Roman" w:cs="Times New Roman"/>
          <w:sz w:val="28"/>
        </w:rPr>
      </w:pPr>
      <w:r>
        <w:rPr>
          <w:rFonts w:ascii="Times New Roman" w:hAnsi="Times New Roman" w:cs="Times New Roman"/>
          <w:noProof/>
          <w:sz w:val="28"/>
          <w:lang w:eastAsia="ru-RU"/>
        </w:rPr>
        <w:drawing>
          <wp:inline distT="0" distB="0" distL="0" distR="0" wp14:anchorId="3653B842">
            <wp:extent cx="3133725" cy="1505585"/>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33725" cy="1505585"/>
                    </a:xfrm>
                    <a:prstGeom prst="rect">
                      <a:avLst/>
                    </a:prstGeom>
                    <a:noFill/>
                  </pic:spPr>
                </pic:pic>
              </a:graphicData>
            </a:graphic>
          </wp:inline>
        </w:drawing>
      </w:r>
    </w:p>
    <w:p w:rsidR="00EF6C6B" w:rsidRDefault="00EF6C6B" w:rsidP="00EF6C6B">
      <w:pPr>
        <w:spacing w:after="0"/>
        <w:jc w:val="center"/>
        <w:rPr>
          <w:rFonts w:ascii="Times New Roman" w:hAnsi="Times New Roman" w:cs="Times New Roman"/>
          <w:sz w:val="28"/>
        </w:rPr>
      </w:pPr>
    </w:p>
    <w:p w:rsidR="00EF6C6B" w:rsidRPr="001228C9" w:rsidRDefault="00EF6C6B" w:rsidP="00EF6C6B">
      <w:pPr>
        <w:spacing w:after="0"/>
        <w:jc w:val="center"/>
        <w:rPr>
          <w:rFonts w:ascii="Times New Roman" w:hAnsi="Times New Roman" w:cs="Times New Roman"/>
          <w:b/>
          <w:sz w:val="28"/>
        </w:rPr>
      </w:pPr>
      <w:r w:rsidRPr="001228C9">
        <w:rPr>
          <w:rFonts w:ascii="Times New Roman" w:hAnsi="Times New Roman" w:cs="Times New Roman"/>
          <w:b/>
          <w:sz w:val="28"/>
        </w:rPr>
        <w:t xml:space="preserve">ФОНД ОЦЕНОЧНЫХ СРЕДСТВ (ОЦЕНОЧНЫЕ МАТЕРИАЛЫ) ДЛЯ </w:t>
      </w:r>
      <w:proofErr w:type="gramStart"/>
      <w:r w:rsidRPr="001228C9">
        <w:rPr>
          <w:rFonts w:ascii="Times New Roman" w:hAnsi="Times New Roman" w:cs="Times New Roman"/>
          <w:b/>
          <w:sz w:val="28"/>
        </w:rPr>
        <w:t>ПРОВЕДЕНИЯ ТЕКУЩЕГО КОНТРОЛЯ УСПЕВАЕМОСТИ И ПРОМЕЖУТОЧНОЙ АТТЕСТАЦИИ</w:t>
      </w:r>
      <w:proofErr w:type="gramEnd"/>
      <w:r w:rsidRPr="001228C9">
        <w:rPr>
          <w:rFonts w:ascii="Times New Roman" w:hAnsi="Times New Roman" w:cs="Times New Roman"/>
          <w:b/>
          <w:sz w:val="28"/>
        </w:rPr>
        <w:t xml:space="preserve"> ОБУЧАЮЩИХСЯ ПО ДИСЦИПЛИНЕ (МОДУЛЮ)</w:t>
      </w:r>
    </w:p>
    <w:p w:rsidR="00EF6C6B" w:rsidRDefault="00EF6C6B" w:rsidP="00EF6C6B">
      <w:pPr>
        <w:spacing w:after="0"/>
        <w:jc w:val="center"/>
        <w:rPr>
          <w:rFonts w:ascii="Times New Roman" w:hAnsi="Times New Roman" w:cs="Times New Roman"/>
          <w:sz w:val="28"/>
        </w:rPr>
      </w:pPr>
    </w:p>
    <w:p w:rsidR="00EF6C6B" w:rsidRPr="001228C9" w:rsidRDefault="00EF6C6B" w:rsidP="00EF6C6B">
      <w:pPr>
        <w:spacing w:after="0"/>
        <w:jc w:val="center"/>
        <w:rPr>
          <w:rFonts w:ascii="Times New Roman" w:hAnsi="Times New Roman" w:cs="Times New Roman"/>
          <w:b/>
          <w:sz w:val="28"/>
        </w:rPr>
      </w:pPr>
      <w:r w:rsidRPr="001228C9">
        <w:rPr>
          <w:rFonts w:ascii="Times New Roman" w:hAnsi="Times New Roman" w:cs="Times New Roman"/>
          <w:b/>
          <w:sz w:val="28"/>
        </w:rPr>
        <w:t>«</w:t>
      </w:r>
      <w:r>
        <w:rPr>
          <w:rFonts w:ascii="Times New Roman" w:hAnsi="Times New Roman" w:cs="Times New Roman"/>
          <w:b/>
          <w:sz w:val="28"/>
        </w:rPr>
        <w:t>Корпоративное право</w:t>
      </w:r>
      <w:r w:rsidRPr="001228C9">
        <w:rPr>
          <w:rFonts w:ascii="Times New Roman" w:hAnsi="Times New Roman" w:cs="Times New Roman"/>
          <w:b/>
          <w:sz w:val="28"/>
        </w:rPr>
        <w:t>»</w:t>
      </w:r>
    </w:p>
    <w:p w:rsidR="00EF6C6B" w:rsidRDefault="00EF6C6B" w:rsidP="00EF6C6B">
      <w:pPr>
        <w:spacing w:after="0"/>
        <w:jc w:val="center"/>
        <w:rPr>
          <w:rFonts w:ascii="Times New Roman" w:hAnsi="Times New Roman" w:cs="Times New Roman"/>
          <w:sz w:val="28"/>
        </w:rPr>
      </w:pPr>
    </w:p>
    <w:p w:rsidR="00EF6C6B" w:rsidRPr="001228C9" w:rsidRDefault="00EF6C6B" w:rsidP="00EF6C6B">
      <w:pPr>
        <w:spacing w:after="0"/>
        <w:jc w:val="center"/>
        <w:rPr>
          <w:rFonts w:ascii="Times New Roman" w:hAnsi="Times New Roman" w:cs="Times New Roman"/>
          <w:b/>
          <w:sz w:val="28"/>
        </w:rPr>
      </w:pPr>
      <w:r w:rsidRPr="001228C9">
        <w:rPr>
          <w:rFonts w:ascii="Times New Roman" w:hAnsi="Times New Roman" w:cs="Times New Roman"/>
          <w:b/>
          <w:sz w:val="28"/>
        </w:rPr>
        <w:t>основной профессиональной образовательной программы</w:t>
      </w:r>
    </w:p>
    <w:p w:rsidR="00EF6C6B" w:rsidRPr="001228C9" w:rsidRDefault="00EF6C6B" w:rsidP="00EF6C6B">
      <w:pPr>
        <w:spacing w:after="0"/>
        <w:jc w:val="center"/>
        <w:rPr>
          <w:rFonts w:ascii="Times New Roman" w:hAnsi="Times New Roman" w:cs="Times New Roman"/>
          <w:b/>
          <w:sz w:val="28"/>
        </w:rPr>
      </w:pPr>
      <w:r w:rsidRPr="001228C9">
        <w:rPr>
          <w:rFonts w:ascii="Times New Roman" w:hAnsi="Times New Roman" w:cs="Times New Roman"/>
          <w:b/>
          <w:sz w:val="28"/>
        </w:rPr>
        <w:t xml:space="preserve">высшего образования – программы </w:t>
      </w:r>
      <w:proofErr w:type="spellStart"/>
      <w:r w:rsidRPr="001228C9">
        <w:rPr>
          <w:rFonts w:ascii="Times New Roman" w:hAnsi="Times New Roman" w:cs="Times New Roman"/>
          <w:b/>
          <w:sz w:val="28"/>
        </w:rPr>
        <w:t>бакалавриата</w:t>
      </w:r>
      <w:proofErr w:type="spellEnd"/>
    </w:p>
    <w:p w:rsidR="00EF6C6B" w:rsidRDefault="00EF6C6B" w:rsidP="00EF6C6B">
      <w:pPr>
        <w:spacing w:after="0"/>
        <w:jc w:val="center"/>
        <w:rPr>
          <w:rFonts w:ascii="Times New Roman" w:hAnsi="Times New Roman" w:cs="Times New Roman"/>
          <w:sz w:val="28"/>
        </w:rPr>
      </w:pPr>
    </w:p>
    <w:p w:rsidR="00B806AA" w:rsidRPr="00B806AA" w:rsidRDefault="00B806AA" w:rsidP="00B806AA">
      <w:pPr>
        <w:spacing w:after="0"/>
        <w:jc w:val="center"/>
        <w:rPr>
          <w:rFonts w:ascii="Times New Roman" w:eastAsia="Calibri" w:hAnsi="Times New Roman" w:cs="Times New Roman"/>
          <w:b/>
          <w:bCs/>
          <w:sz w:val="28"/>
        </w:rPr>
      </w:pPr>
      <w:r w:rsidRPr="00B806AA">
        <w:rPr>
          <w:rFonts w:ascii="Times New Roman" w:eastAsia="Calibri" w:hAnsi="Times New Roman" w:cs="Times New Roman"/>
          <w:sz w:val="28"/>
        </w:rPr>
        <w:t>по специальности</w:t>
      </w:r>
      <w:r w:rsidRPr="00B806AA">
        <w:rPr>
          <w:rFonts w:ascii="Times New Roman" w:eastAsia="Calibri" w:hAnsi="Times New Roman" w:cs="Times New Roman"/>
          <w:sz w:val="28"/>
        </w:rPr>
        <w:br/>
      </w:r>
      <w:r w:rsidRPr="00B806AA">
        <w:rPr>
          <w:rFonts w:ascii="Times New Roman" w:eastAsia="Calibri" w:hAnsi="Times New Roman" w:cs="Times New Roman"/>
          <w:b/>
          <w:bCs/>
          <w:sz w:val="28"/>
        </w:rPr>
        <w:t>38.05.01 Экономическая безопасность</w:t>
      </w:r>
    </w:p>
    <w:p w:rsidR="00B806AA" w:rsidRPr="00B806AA" w:rsidRDefault="00B806AA" w:rsidP="00B806AA">
      <w:pPr>
        <w:spacing w:after="0"/>
        <w:jc w:val="center"/>
        <w:rPr>
          <w:rFonts w:ascii="Times New Roman" w:eastAsia="Calibri" w:hAnsi="Times New Roman" w:cs="Times New Roman"/>
          <w:b/>
          <w:bCs/>
          <w:sz w:val="28"/>
        </w:rPr>
      </w:pPr>
      <w:r w:rsidRPr="00B806AA">
        <w:rPr>
          <w:rFonts w:ascii="Times New Roman" w:eastAsia="Calibri" w:hAnsi="Times New Roman" w:cs="Times New Roman"/>
          <w:b/>
          <w:sz w:val="28"/>
        </w:rPr>
        <w:br/>
      </w:r>
      <w:r w:rsidRPr="00B806AA">
        <w:rPr>
          <w:rFonts w:ascii="Times New Roman" w:eastAsia="Calibri" w:hAnsi="Times New Roman" w:cs="Times New Roman"/>
          <w:sz w:val="28"/>
        </w:rPr>
        <w:t>со специализацией</w:t>
      </w:r>
      <w:r w:rsidRPr="00B806AA">
        <w:rPr>
          <w:rFonts w:ascii="Times New Roman" w:eastAsia="Calibri" w:hAnsi="Times New Roman" w:cs="Times New Roman"/>
          <w:sz w:val="28"/>
        </w:rPr>
        <w:br/>
      </w:r>
      <w:r w:rsidRPr="00B806AA">
        <w:rPr>
          <w:rFonts w:ascii="Times New Roman" w:eastAsia="Calibri" w:hAnsi="Times New Roman" w:cs="Times New Roman"/>
          <w:b/>
          <w:bCs/>
          <w:sz w:val="28"/>
        </w:rPr>
        <w:t>Экономико-правовое обеспечение экономической безопасности</w:t>
      </w:r>
    </w:p>
    <w:p w:rsidR="00B806AA" w:rsidRPr="00B806AA" w:rsidRDefault="00B806AA" w:rsidP="00B806AA">
      <w:pPr>
        <w:spacing w:after="0"/>
        <w:jc w:val="center"/>
        <w:rPr>
          <w:rFonts w:ascii="Times New Roman" w:eastAsia="Calibri" w:hAnsi="Times New Roman" w:cs="Times New Roman"/>
          <w:sz w:val="28"/>
        </w:rPr>
      </w:pPr>
    </w:p>
    <w:p w:rsidR="00B806AA" w:rsidRPr="00B806AA" w:rsidRDefault="00B806AA" w:rsidP="00B806AA">
      <w:pPr>
        <w:spacing w:after="0"/>
        <w:jc w:val="center"/>
        <w:rPr>
          <w:rFonts w:ascii="Times New Roman" w:eastAsia="Calibri" w:hAnsi="Times New Roman" w:cs="Times New Roman"/>
          <w:sz w:val="28"/>
        </w:rPr>
      </w:pPr>
      <w:r w:rsidRPr="00B806AA">
        <w:rPr>
          <w:rFonts w:ascii="Times New Roman" w:eastAsia="Calibri" w:hAnsi="Times New Roman" w:cs="Times New Roman"/>
          <w:sz w:val="28"/>
        </w:rPr>
        <w:t>Форма обучения: очная, заочная</w:t>
      </w:r>
    </w:p>
    <w:p w:rsidR="00B806AA" w:rsidRPr="00B806AA" w:rsidRDefault="00B806AA" w:rsidP="00B806AA">
      <w:pPr>
        <w:spacing w:after="0"/>
        <w:rPr>
          <w:rFonts w:ascii="Times New Roman" w:eastAsia="Calibri" w:hAnsi="Times New Roman" w:cs="Times New Roman"/>
          <w:sz w:val="28"/>
        </w:rPr>
      </w:pPr>
    </w:p>
    <w:p w:rsidR="00B806AA" w:rsidRPr="00B806AA" w:rsidRDefault="00B806AA" w:rsidP="00B806AA">
      <w:pPr>
        <w:spacing w:after="0"/>
        <w:jc w:val="center"/>
        <w:rPr>
          <w:rFonts w:ascii="Times New Roman" w:eastAsia="Calibri" w:hAnsi="Times New Roman" w:cs="Times New Roman"/>
          <w:sz w:val="28"/>
        </w:rPr>
      </w:pPr>
      <w:r w:rsidRPr="00B806AA">
        <w:rPr>
          <w:rFonts w:ascii="Times New Roman" w:eastAsia="Calibri" w:hAnsi="Times New Roman" w:cs="Times New Roman"/>
          <w:sz w:val="28"/>
        </w:rPr>
        <w:t xml:space="preserve">Идентификационный номер образовательной программы: </w:t>
      </w:r>
      <w:r w:rsidR="007A1B4D">
        <w:rPr>
          <w:rFonts w:ascii="Times New Roman" w:eastAsia="Calibri" w:hAnsi="Times New Roman" w:cs="Times New Roman"/>
          <w:sz w:val="28"/>
          <w:szCs w:val="28"/>
          <w:lang w:eastAsia="ru-RU"/>
        </w:rPr>
        <w:t>380501-01-21</w:t>
      </w:r>
    </w:p>
    <w:p w:rsidR="00B806AA" w:rsidRPr="00B806AA" w:rsidRDefault="00B806AA" w:rsidP="00B806AA">
      <w:pPr>
        <w:spacing w:after="0"/>
        <w:jc w:val="center"/>
        <w:rPr>
          <w:rFonts w:ascii="Times New Roman" w:eastAsia="Calibri" w:hAnsi="Times New Roman" w:cs="Times New Roman"/>
          <w:sz w:val="28"/>
        </w:rPr>
      </w:pPr>
    </w:p>
    <w:p w:rsidR="00B806AA" w:rsidRPr="00B806AA" w:rsidRDefault="00B806AA" w:rsidP="00B806AA">
      <w:pPr>
        <w:spacing w:after="0"/>
        <w:jc w:val="center"/>
        <w:rPr>
          <w:rFonts w:ascii="Times New Roman" w:eastAsia="Calibri" w:hAnsi="Times New Roman" w:cs="Times New Roman"/>
          <w:sz w:val="28"/>
        </w:rPr>
      </w:pPr>
    </w:p>
    <w:p w:rsidR="00B806AA" w:rsidRPr="00B806AA" w:rsidRDefault="00B806AA" w:rsidP="00B806AA">
      <w:pPr>
        <w:spacing w:after="0"/>
        <w:jc w:val="center"/>
        <w:rPr>
          <w:rFonts w:ascii="Times New Roman" w:eastAsia="Calibri" w:hAnsi="Times New Roman" w:cs="Times New Roman"/>
          <w:sz w:val="28"/>
        </w:rPr>
      </w:pPr>
    </w:p>
    <w:p w:rsidR="00B806AA" w:rsidRPr="00B806AA" w:rsidRDefault="00B806AA" w:rsidP="00B806AA">
      <w:pPr>
        <w:spacing w:after="0"/>
        <w:jc w:val="center"/>
        <w:rPr>
          <w:rFonts w:ascii="Times New Roman" w:eastAsia="Calibri" w:hAnsi="Times New Roman" w:cs="Times New Roman"/>
          <w:sz w:val="28"/>
        </w:rPr>
      </w:pPr>
      <w:r w:rsidRPr="00B806AA">
        <w:rPr>
          <w:rFonts w:ascii="Times New Roman" w:eastAsia="Calibri" w:hAnsi="Times New Roman" w:cs="Times New Roman"/>
          <w:sz w:val="28"/>
        </w:rPr>
        <w:t xml:space="preserve">Тула </w:t>
      </w:r>
      <w:r w:rsidR="007A1B4D">
        <w:rPr>
          <w:rFonts w:ascii="Times New Roman" w:eastAsia="Calibri" w:hAnsi="Times New Roman" w:cs="Times New Roman"/>
          <w:sz w:val="28"/>
        </w:rPr>
        <w:t xml:space="preserve">2021 </w:t>
      </w:r>
      <w:bookmarkStart w:id="0" w:name="_GoBack"/>
      <w:bookmarkEnd w:id="0"/>
      <w:r w:rsidRPr="00B806AA">
        <w:rPr>
          <w:rFonts w:ascii="Times New Roman" w:eastAsia="Calibri" w:hAnsi="Times New Roman" w:cs="Times New Roman"/>
          <w:sz w:val="28"/>
        </w:rPr>
        <w:t>год</w:t>
      </w:r>
    </w:p>
    <w:p w:rsidR="00EF6C6B" w:rsidRDefault="00EF6C6B" w:rsidP="00EF6C6B">
      <w:pPr>
        <w:spacing w:after="0"/>
        <w:jc w:val="center"/>
        <w:rPr>
          <w:rFonts w:ascii="Times New Roman" w:hAnsi="Times New Roman" w:cs="Times New Roman"/>
          <w:b/>
          <w:sz w:val="28"/>
        </w:rPr>
      </w:pPr>
      <w:r>
        <w:rPr>
          <w:rFonts w:ascii="Times New Roman" w:hAnsi="Times New Roman" w:cs="Times New Roman"/>
          <w:b/>
          <w:sz w:val="28"/>
        </w:rPr>
        <w:lastRenderedPageBreak/>
        <w:t>ЛИСТ СОГЛАСОВАНИЯ</w:t>
      </w:r>
    </w:p>
    <w:p w:rsidR="00EF6C6B" w:rsidRPr="00646C44" w:rsidRDefault="00EF6C6B" w:rsidP="00EF6C6B">
      <w:pPr>
        <w:spacing w:after="0"/>
        <w:jc w:val="center"/>
        <w:rPr>
          <w:rFonts w:ascii="Times New Roman" w:hAnsi="Times New Roman" w:cs="Times New Roman"/>
          <w:b/>
          <w:sz w:val="28"/>
        </w:rPr>
      </w:pPr>
      <w:r>
        <w:rPr>
          <w:rFonts w:ascii="Times New Roman" w:hAnsi="Times New Roman" w:cs="Times New Roman"/>
          <w:b/>
          <w:sz w:val="28"/>
        </w:rPr>
        <w:t xml:space="preserve">фонда оценочных средств (оценочных материалов) </w:t>
      </w:r>
    </w:p>
    <w:p w:rsidR="00DE5F1C" w:rsidRPr="00DE5F1C" w:rsidRDefault="00DE5F1C" w:rsidP="00DE5F1C">
      <w:pPr>
        <w:spacing w:after="197"/>
        <w:ind w:right="1296"/>
        <w:rPr>
          <w:rFonts w:ascii="Calibri" w:eastAsia="Times New Roman" w:hAnsi="Calibri" w:cs="Times New Roman"/>
          <w:lang w:eastAsia="ru-RU"/>
        </w:rPr>
      </w:pPr>
      <w:r w:rsidRPr="00DE5F1C">
        <w:rPr>
          <w:rFonts w:ascii="Calibri" w:eastAsia="Calibri" w:hAnsi="Calibri" w:cs="Times New Roman"/>
          <w:noProof/>
          <w:lang w:eastAsia="ru-RU"/>
        </w:rPr>
        <w:drawing>
          <wp:anchor distT="0" distB="0" distL="114300" distR="114300" simplePos="0" relativeHeight="251658240" behindDoc="0" locked="0" layoutInCell="1" allowOverlap="0" wp14:anchorId="68FC3B99" wp14:editId="2F8745B5">
            <wp:simplePos x="0" y="0"/>
            <wp:positionH relativeFrom="column">
              <wp:posOffset>4712970</wp:posOffset>
            </wp:positionH>
            <wp:positionV relativeFrom="paragraph">
              <wp:posOffset>149860</wp:posOffset>
            </wp:positionV>
            <wp:extent cx="1149350" cy="8394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9350" cy="839470"/>
                    </a:xfrm>
                    <a:prstGeom prst="rect">
                      <a:avLst/>
                    </a:prstGeom>
                    <a:noFill/>
                  </pic:spPr>
                </pic:pic>
              </a:graphicData>
            </a:graphic>
            <wp14:sizeRelH relativeFrom="margin">
              <wp14:pctWidth>0</wp14:pctWidth>
            </wp14:sizeRelH>
            <wp14:sizeRelV relativeFrom="margin">
              <wp14:pctHeight>0</wp14:pctHeight>
            </wp14:sizeRelV>
          </wp:anchor>
        </w:drawing>
      </w:r>
    </w:p>
    <w:p w:rsidR="00DE5F1C" w:rsidRPr="00DE5F1C" w:rsidRDefault="00DE5F1C" w:rsidP="00DE5F1C">
      <w:pPr>
        <w:spacing w:after="189"/>
        <w:ind w:left="-43"/>
        <w:rPr>
          <w:rFonts w:ascii="Calibri" w:eastAsia="Times New Roman" w:hAnsi="Calibri" w:cs="Times New Roman"/>
          <w:lang w:eastAsia="ru-RU"/>
        </w:rPr>
      </w:pPr>
      <w:r w:rsidRPr="00DE5F1C">
        <w:rPr>
          <w:rFonts w:ascii="Times New Roman" w:eastAsia="Times New Roman" w:hAnsi="Times New Roman" w:cs="Times New Roman"/>
          <w:sz w:val="26"/>
          <w:lang w:eastAsia="ru-RU"/>
        </w:rPr>
        <w:t>Разработчик(и):</w:t>
      </w:r>
    </w:p>
    <w:p w:rsidR="00DE5F1C" w:rsidRPr="00DE5F1C" w:rsidRDefault="00DE5F1C" w:rsidP="00DE5F1C">
      <w:pPr>
        <w:spacing w:after="0"/>
        <w:ind w:left="-38"/>
        <w:rPr>
          <w:rFonts w:ascii="Calibri" w:eastAsia="Times New Roman" w:hAnsi="Calibri" w:cs="Times New Roman"/>
          <w:lang w:eastAsia="ru-RU"/>
        </w:rPr>
      </w:pPr>
      <w:r w:rsidRPr="00DE5F1C">
        <w:rPr>
          <w:rFonts w:ascii="Times New Roman" w:eastAsia="Times New Roman" w:hAnsi="Times New Roman" w:cs="Times New Roman"/>
          <w:sz w:val="24"/>
          <w:u w:val="single" w:color="000000"/>
          <w:lang w:eastAsia="ru-RU"/>
        </w:rPr>
        <w:t xml:space="preserve">И.И. </w:t>
      </w:r>
      <w:proofErr w:type="spellStart"/>
      <w:r w:rsidRPr="00DE5F1C">
        <w:rPr>
          <w:rFonts w:ascii="Times New Roman" w:eastAsia="Times New Roman" w:hAnsi="Times New Roman" w:cs="Times New Roman"/>
          <w:sz w:val="24"/>
          <w:u w:val="single" w:color="000000"/>
          <w:lang w:eastAsia="ru-RU"/>
        </w:rPr>
        <w:t>Пустомолотов</w:t>
      </w:r>
      <w:proofErr w:type="spellEnd"/>
      <w:r w:rsidRPr="00DE5F1C">
        <w:rPr>
          <w:rFonts w:ascii="Times New Roman" w:eastAsia="Times New Roman" w:hAnsi="Times New Roman" w:cs="Times New Roman"/>
          <w:sz w:val="24"/>
          <w:u w:val="single" w:color="000000"/>
          <w:lang w:eastAsia="ru-RU"/>
        </w:rPr>
        <w:t xml:space="preserve">: доц. каф. </w:t>
      </w:r>
      <w:proofErr w:type="spellStart"/>
      <w:r w:rsidRPr="00DE5F1C">
        <w:rPr>
          <w:rFonts w:ascii="Times New Roman" w:eastAsia="Times New Roman" w:hAnsi="Times New Roman" w:cs="Times New Roman"/>
          <w:sz w:val="24"/>
          <w:u w:val="single" w:color="000000"/>
          <w:lang w:eastAsia="ru-RU"/>
        </w:rPr>
        <w:t>ГиПП</w:t>
      </w:r>
      <w:proofErr w:type="spellEnd"/>
      <w:r w:rsidRPr="00DE5F1C">
        <w:rPr>
          <w:rFonts w:ascii="Times New Roman" w:eastAsia="Times New Roman" w:hAnsi="Times New Roman" w:cs="Times New Roman"/>
          <w:sz w:val="24"/>
          <w:u w:val="single" w:color="000000"/>
          <w:lang w:eastAsia="ru-RU"/>
        </w:rPr>
        <w:t xml:space="preserve">, </w:t>
      </w:r>
      <w:proofErr w:type="spellStart"/>
      <w:r w:rsidRPr="00DE5F1C">
        <w:rPr>
          <w:rFonts w:ascii="Times New Roman" w:eastAsia="Times New Roman" w:hAnsi="Times New Roman" w:cs="Times New Roman"/>
          <w:sz w:val="24"/>
          <w:u w:val="single" w:color="000000"/>
          <w:lang w:eastAsia="ru-RU"/>
        </w:rPr>
        <w:t>к.ю.н</w:t>
      </w:r>
      <w:proofErr w:type="spellEnd"/>
      <w:r w:rsidRPr="00DE5F1C">
        <w:rPr>
          <w:rFonts w:ascii="Times New Roman" w:eastAsia="Times New Roman" w:hAnsi="Times New Roman" w:cs="Times New Roman"/>
          <w:sz w:val="24"/>
          <w:lang w:eastAsia="ru-RU"/>
        </w:rPr>
        <w:t>.</w:t>
      </w:r>
    </w:p>
    <w:p w:rsidR="00DE5F1C" w:rsidRPr="00DE5F1C" w:rsidRDefault="00DE5F1C" w:rsidP="00DE5F1C">
      <w:pPr>
        <w:spacing w:after="0"/>
        <w:jc w:val="center"/>
        <w:rPr>
          <w:rFonts w:ascii="Times New Roman" w:eastAsia="Calibri" w:hAnsi="Times New Roman" w:cs="Times New Roman"/>
          <w:sz w:val="28"/>
        </w:rPr>
      </w:pPr>
    </w:p>
    <w:p w:rsidR="00EF6C6B" w:rsidRPr="00771CA3" w:rsidRDefault="00EF6C6B" w:rsidP="00EF6C6B">
      <w:pPr>
        <w:spacing w:after="0"/>
        <w:jc w:val="center"/>
        <w:rPr>
          <w:rFonts w:ascii="Times New Roman" w:hAnsi="Times New Roman" w:cs="Times New Roman"/>
          <w:sz w:val="28"/>
        </w:rPr>
      </w:pPr>
    </w:p>
    <w:p w:rsidR="00470287" w:rsidRDefault="00470287" w:rsidP="00EF6C6B">
      <w:pPr>
        <w:spacing w:after="0" w:line="240" w:lineRule="auto"/>
        <w:jc w:val="both"/>
        <w:rPr>
          <w:rFonts w:ascii="Times New Roman" w:hAnsi="Times New Roman" w:cs="Times New Roman"/>
          <w:sz w:val="28"/>
          <w:szCs w:val="28"/>
        </w:rPr>
      </w:pPr>
    </w:p>
    <w:p w:rsidR="00EF6C6B" w:rsidRDefault="00EF6C6B" w:rsidP="00EF6C6B">
      <w:pPr>
        <w:spacing w:after="0" w:line="240" w:lineRule="auto"/>
        <w:jc w:val="both"/>
        <w:rPr>
          <w:rFonts w:ascii="Times New Roman" w:hAnsi="Times New Roman" w:cs="Times New Roman"/>
          <w:sz w:val="28"/>
          <w:szCs w:val="28"/>
        </w:rPr>
      </w:pPr>
    </w:p>
    <w:p w:rsidR="00EF6C6B" w:rsidRDefault="00EF6C6B" w:rsidP="00EF6C6B">
      <w:pPr>
        <w:spacing w:after="0" w:line="240" w:lineRule="auto"/>
        <w:jc w:val="both"/>
        <w:rPr>
          <w:rFonts w:ascii="Times New Roman" w:hAnsi="Times New Roman" w:cs="Times New Roman"/>
          <w:sz w:val="28"/>
          <w:szCs w:val="28"/>
        </w:rPr>
      </w:pPr>
    </w:p>
    <w:p w:rsidR="00EF6C6B" w:rsidRDefault="00EF6C6B" w:rsidP="00EF6C6B">
      <w:pPr>
        <w:spacing w:after="0" w:line="240" w:lineRule="auto"/>
        <w:jc w:val="both"/>
        <w:rPr>
          <w:rFonts w:ascii="Times New Roman" w:hAnsi="Times New Roman" w:cs="Times New Roman"/>
          <w:sz w:val="28"/>
          <w:szCs w:val="28"/>
        </w:rPr>
      </w:pPr>
    </w:p>
    <w:p w:rsidR="00EF6C6B" w:rsidRDefault="00EF6C6B" w:rsidP="00EF6C6B">
      <w:pPr>
        <w:spacing w:after="0" w:line="240" w:lineRule="auto"/>
        <w:jc w:val="both"/>
        <w:rPr>
          <w:rFonts w:ascii="Times New Roman" w:hAnsi="Times New Roman" w:cs="Times New Roman"/>
          <w:sz w:val="28"/>
          <w:szCs w:val="28"/>
        </w:rPr>
      </w:pPr>
    </w:p>
    <w:p w:rsidR="00EF6C6B" w:rsidRDefault="00EF6C6B" w:rsidP="00EF6C6B">
      <w:pPr>
        <w:spacing w:after="0" w:line="240" w:lineRule="auto"/>
        <w:jc w:val="both"/>
        <w:rPr>
          <w:rFonts w:ascii="Times New Roman" w:hAnsi="Times New Roman" w:cs="Times New Roman"/>
          <w:sz w:val="28"/>
          <w:szCs w:val="28"/>
        </w:rPr>
      </w:pPr>
    </w:p>
    <w:p w:rsidR="00EF6C6B" w:rsidRDefault="00EF6C6B" w:rsidP="00EF6C6B">
      <w:pPr>
        <w:spacing w:after="0" w:line="240" w:lineRule="auto"/>
        <w:jc w:val="both"/>
        <w:rPr>
          <w:rFonts w:ascii="Times New Roman" w:hAnsi="Times New Roman" w:cs="Times New Roman"/>
          <w:sz w:val="28"/>
          <w:szCs w:val="28"/>
        </w:rPr>
      </w:pPr>
    </w:p>
    <w:p w:rsidR="00EF6C6B" w:rsidRDefault="00EF6C6B" w:rsidP="00EF6C6B">
      <w:pPr>
        <w:spacing w:after="0" w:line="240" w:lineRule="auto"/>
        <w:jc w:val="both"/>
        <w:rPr>
          <w:rFonts w:ascii="Times New Roman" w:hAnsi="Times New Roman" w:cs="Times New Roman"/>
          <w:sz w:val="28"/>
          <w:szCs w:val="28"/>
        </w:rPr>
      </w:pPr>
    </w:p>
    <w:p w:rsidR="00EF6C6B" w:rsidRDefault="00EF6C6B" w:rsidP="00EF6C6B">
      <w:pPr>
        <w:spacing w:after="0" w:line="240" w:lineRule="auto"/>
        <w:jc w:val="both"/>
        <w:rPr>
          <w:rFonts w:ascii="Times New Roman" w:hAnsi="Times New Roman" w:cs="Times New Roman"/>
          <w:sz w:val="28"/>
          <w:szCs w:val="28"/>
        </w:rPr>
      </w:pPr>
    </w:p>
    <w:p w:rsidR="00EF6C6B" w:rsidRDefault="00EF6C6B" w:rsidP="00EF6C6B">
      <w:pPr>
        <w:spacing w:after="0" w:line="240" w:lineRule="auto"/>
        <w:jc w:val="both"/>
        <w:rPr>
          <w:rFonts w:ascii="Times New Roman" w:hAnsi="Times New Roman" w:cs="Times New Roman"/>
          <w:sz w:val="28"/>
          <w:szCs w:val="28"/>
        </w:rPr>
      </w:pPr>
    </w:p>
    <w:p w:rsidR="00EF6C6B" w:rsidRDefault="00EF6C6B" w:rsidP="00EF6C6B">
      <w:pPr>
        <w:spacing w:after="0" w:line="240" w:lineRule="auto"/>
        <w:jc w:val="both"/>
        <w:rPr>
          <w:rFonts w:ascii="Times New Roman" w:hAnsi="Times New Roman" w:cs="Times New Roman"/>
          <w:sz w:val="28"/>
          <w:szCs w:val="28"/>
        </w:rPr>
      </w:pPr>
    </w:p>
    <w:p w:rsidR="00EF6C6B" w:rsidRDefault="00EF6C6B" w:rsidP="00EF6C6B">
      <w:pPr>
        <w:spacing w:after="0" w:line="240" w:lineRule="auto"/>
        <w:jc w:val="both"/>
        <w:rPr>
          <w:rFonts w:ascii="Times New Roman" w:hAnsi="Times New Roman" w:cs="Times New Roman"/>
          <w:sz w:val="28"/>
          <w:szCs w:val="28"/>
        </w:rPr>
      </w:pPr>
    </w:p>
    <w:p w:rsidR="00EF6C6B" w:rsidRDefault="00EF6C6B" w:rsidP="00EF6C6B">
      <w:pPr>
        <w:spacing w:after="0" w:line="240" w:lineRule="auto"/>
        <w:jc w:val="both"/>
        <w:rPr>
          <w:rFonts w:ascii="Times New Roman" w:hAnsi="Times New Roman" w:cs="Times New Roman"/>
          <w:sz w:val="28"/>
          <w:szCs w:val="28"/>
        </w:rPr>
      </w:pPr>
    </w:p>
    <w:p w:rsidR="00EF6C6B" w:rsidRDefault="00EF6C6B" w:rsidP="00EF6C6B">
      <w:pPr>
        <w:spacing w:after="0" w:line="240" w:lineRule="auto"/>
        <w:jc w:val="both"/>
        <w:rPr>
          <w:rFonts w:ascii="Times New Roman" w:hAnsi="Times New Roman" w:cs="Times New Roman"/>
          <w:sz w:val="28"/>
          <w:szCs w:val="28"/>
        </w:rPr>
      </w:pPr>
    </w:p>
    <w:p w:rsidR="00EF6C6B" w:rsidRDefault="00EF6C6B" w:rsidP="00EF6C6B">
      <w:pPr>
        <w:spacing w:after="0" w:line="240" w:lineRule="auto"/>
        <w:jc w:val="both"/>
        <w:rPr>
          <w:rFonts w:ascii="Times New Roman" w:hAnsi="Times New Roman" w:cs="Times New Roman"/>
          <w:sz w:val="28"/>
          <w:szCs w:val="28"/>
        </w:rPr>
      </w:pPr>
    </w:p>
    <w:p w:rsidR="00EF6C6B" w:rsidRDefault="00EF6C6B" w:rsidP="00EF6C6B">
      <w:pPr>
        <w:spacing w:after="0" w:line="240" w:lineRule="auto"/>
        <w:jc w:val="both"/>
        <w:rPr>
          <w:rFonts w:ascii="Times New Roman" w:hAnsi="Times New Roman" w:cs="Times New Roman"/>
          <w:sz w:val="28"/>
          <w:szCs w:val="28"/>
        </w:rPr>
      </w:pPr>
    </w:p>
    <w:p w:rsidR="00EF6C6B" w:rsidRDefault="00EF6C6B" w:rsidP="00EF6C6B">
      <w:pPr>
        <w:spacing w:after="0" w:line="240" w:lineRule="auto"/>
        <w:jc w:val="both"/>
        <w:rPr>
          <w:rFonts w:ascii="Times New Roman" w:hAnsi="Times New Roman" w:cs="Times New Roman"/>
          <w:sz w:val="28"/>
          <w:szCs w:val="28"/>
        </w:rPr>
      </w:pPr>
    </w:p>
    <w:p w:rsidR="00EF6C6B" w:rsidRDefault="00EF6C6B" w:rsidP="00EF6C6B">
      <w:pPr>
        <w:spacing w:after="0" w:line="240" w:lineRule="auto"/>
        <w:jc w:val="both"/>
        <w:rPr>
          <w:rFonts w:ascii="Times New Roman" w:hAnsi="Times New Roman" w:cs="Times New Roman"/>
          <w:sz w:val="28"/>
          <w:szCs w:val="28"/>
        </w:rPr>
      </w:pPr>
    </w:p>
    <w:p w:rsidR="00EF6C6B" w:rsidRDefault="00EF6C6B" w:rsidP="00EF6C6B">
      <w:pPr>
        <w:spacing w:after="0" w:line="240" w:lineRule="auto"/>
        <w:jc w:val="both"/>
        <w:rPr>
          <w:rFonts w:ascii="Times New Roman" w:hAnsi="Times New Roman" w:cs="Times New Roman"/>
          <w:sz w:val="28"/>
          <w:szCs w:val="28"/>
        </w:rPr>
      </w:pPr>
    </w:p>
    <w:p w:rsidR="00EF6C6B" w:rsidRDefault="00EF6C6B" w:rsidP="00EF6C6B">
      <w:pPr>
        <w:spacing w:after="0" w:line="240" w:lineRule="auto"/>
        <w:jc w:val="both"/>
        <w:rPr>
          <w:rFonts w:ascii="Times New Roman" w:hAnsi="Times New Roman" w:cs="Times New Roman"/>
          <w:sz w:val="28"/>
          <w:szCs w:val="28"/>
        </w:rPr>
      </w:pPr>
    </w:p>
    <w:p w:rsidR="00EF6C6B" w:rsidRDefault="00EF6C6B" w:rsidP="00EF6C6B">
      <w:pPr>
        <w:spacing w:after="0" w:line="240" w:lineRule="auto"/>
        <w:jc w:val="both"/>
        <w:rPr>
          <w:rFonts w:ascii="Times New Roman" w:hAnsi="Times New Roman" w:cs="Times New Roman"/>
          <w:sz w:val="28"/>
          <w:szCs w:val="28"/>
        </w:rPr>
      </w:pPr>
    </w:p>
    <w:p w:rsidR="00EF6C6B" w:rsidRDefault="00EF6C6B" w:rsidP="00EF6C6B">
      <w:pPr>
        <w:spacing w:after="0" w:line="240" w:lineRule="auto"/>
        <w:jc w:val="both"/>
        <w:rPr>
          <w:rFonts w:ascii="Times New Roman" w:hAnsi="Times New Roman" w:cs="Times New Roman"/>
          <w:sz w:val="28"/>
          <w:szCs w:val="28"/>
        </w:rPr>
      </w:pPr>
    </w:p>
    <w:p w:rsidR="00EF6C6B" w:rsidRDefault="00EF6C6B" w:rsidP="00EF6C6B">
      <w:pPr>
        <w:spacing w:after="0" w:line="240" w:lineRule="auto"/>
        <w:jc w:val="both"/>
        <w:rPr>
          <w:rFonts w:ascii="Times New Roman" w:hAnsi="Times New Roman" w:cs="Times New Roman"/>
          <w:sz w:val="28"/>
          <w:szCs w:val="28"/>
        </w:rPr>
      </w:pPr>
    </w:p>
    <w:p w:rsidR="00EF6C6B" w:rsidRDefault="00EF6C6B" w:rsidP="00EF6C6B">
      <w:pPr>
        <w:spacing w:after="0" w:line="240" w:lineRule="auto"/>
        <w:jc w:val="both"/>
        <w:rPr>
          <w:rFonts w:ascii="Times New Roman" w:hAnsi="Times New Roman" w:cs="Times New Roman"/>
          <w:sz w:val="28"/>
          <w:szCs w:val="28"/>
        </w:rPr>
      </w:pPr>
    </w:p>
    <w:p w:rsidR="00EF6C6B" w:rsidRDefault="00EF6C6B" w:rsidP="00EF6C6B">
      <w:pPr>
        <w:spacing w:after="0" w:line="240" w:lineRule="auto"/>
        <w:jc w:val="both"/>
        <w:rPr>
          <w:rFonts w:ascii="Times New Roman" w:hAnsi="Times New Roman" w:cs="Times New Roman"/>
          <w:sz w:val="28"/>
          <w:szCs w:val="28"/>
        </w:rPr>
      </w:pPr>
    </w:p>
    <w:p w:rsidR="00EF6C6B" w:rsidRDefault="00EF6C6B" w:rsidP="00EF6C6B">
      <w:pPr>
        <w:spacing w:after="0" w:line="240" w:lineRule="auto"/>
        <w:jc w:val="both"/>
        <w:rPr>
          <w:rFonts w:ascii="Times New Roman" w:hAnsi="Times New Roman" w:cs="Times New Roman"/>
          <w:sz w:val="28"/>
          <w:szCs w:val="28"/>
        </w:rPr>
      </w:pPr>
    </w:p>
    <w:p w:rsidR="00EF6C6B" w:rsidRDefault="00EF6C6B" w:rsidP="00EF6C6B">
      <w:pPr>
        <w:spacing w:after="0" w:line="240" w:lineRule="auto"/>
        <w:jc w:val="both"/>
        <w:rPr>
          <w:rFonts w:ascii="Times New Roman" w:hAnsi="Times New Roman" w:cs="Times New Roman"/>
          <w:sz w:val="28"/>
          <w:szCs w:val="28"/>
        </w:rPr>
      </w:pPr>
    </w:p>
    <w:p w:rsidR="00EF6C6B" w:rsidRDefault="00EF6C6B" w:rsidP="00EF6C6B">
      <w:pPr>
        <w:spacing w:after="0" w:line="240" w:lineRule="auto"/>
        <w:jc w:val="both"/>
        <w:rPr>
          <w:rFonts w:ascii="Times New Roman" w:hAnsi="Times New Roman" w:cs="Times New Roman"/>
          <w:sz w:val="28"/>
          <w:szCs w:val="28"/>
        </w:rPr>
      </w:pPr>
    </w:p>
    <w:p w:rsidR="00EF6C6B" w:rsidRDefault="00EF6C6B" w:rsidP="00EF6C6B">
      <w:pPr>
        <w:spacing w:after="0" w:line="240" w:lineRule="auto"/>
        <w:jc w:val="both"/>
        <w:rPr>
          <w:rFonts w:ascii="Times New Roman" w:hAnsi="Times New Roman" w:cs="Times New Roman"/>
          <w:sz w:val="28"/>
          <w:szCs w:val="28"/>
        </w:rPr>
      </w:pPr>
    </w:p>
    <w:p w:rsidR="00EF6C6B" w:rsidRDefault="00EF6C6B" w:rsidP="00EF6C6B">
      <w:pPr>
        <w:spacing w:after="0" w:line="240" w:lineRule="auto"/>
        <w:jc w:val="both"/>
        <w:rPr>
          <w:rFonts w:ascii="Times New Roman" w:hAnsi="Times New Roman" w:cs="Times New Roman"/>
          <w:sz w:val="28"/>
          <w:szCs w:val="28"/>
        </w:rPr>
      </w:pPr>
    </w:p>
    <w:p w:rsidR="00EF6C6B" w:rsidRDefault="00EF6C6B" w:rsidP="00EF6C6B">
      <w:pPr>
        <w:spacing w:after="0" w:line="240" w:lineRule="auto"/>
        <w:jc w:val="both"/>
        <w:rPr>
          <w:rFonts w:ascii="Times New Roman" w:hAnsi="Times New Roman" w:cs="Times New Roman"/>
          <w:sz w:val="28"/>
          <w:szCs w:val="28"/>
        </w:rPr>
      </w:pPr>
    </w:p>
    <w:p w:rsidR="00EF6C6B" w:rsidRDefault="00EF6C6B" w:rsidP="00EF6C6B">
      <w:pPr>
        <w:spacing w:after="0" w:line="240" w:lineRule="auto"/>
        <w:jc w:val="both"/>
        <w:rPr>
          <w:rFonts w:ascii="Times New Roman" w:hAnsi="Times New Roman" w:cs="Times New Roman"/>
          <w:sz w:val="28"/>
          <w:szCs w:val="28"/>
        </w:rPr>
      </w:pPr>
    </w:p>
    <w:p w:rsidR="00EF6C6B" w:rsidRDefault="00EF6C6B" w:rsidP="00EF6C6B">
      <w:pPr>
        <w:spacing w:after="0" w:line="240" w:lineRule="auto"/>
        <w:jc w:val="both"/>
        <w:rPr>
          <w:rFonts w:ascii="Times New Roman" w:hAnsi="Times New Roman" w:cs="Times New Roman"/>
          <w:sz w:val="28"/>
          <w:szCs w:val="28"/>
        </w:rPr>
      </w:pPr>
    </w:p>
    <w:p w:rsidR="00EF6C6B" w:rsidRDefault="00EF6C6B" w:rsidP="00EF6C6B">
      <w:pPr>
        <w:spacing w:after="0" w:line="240" w:lineRule="auto"/>
        <w:jc w:val="both"/>
        <w:rPr>
          <w:rFonts w:ascii="Times New Roman" w:hAnsi="Times New Roman" w:cs="Times New Roman"/>
          <w:sz w:val="28"/>
          <w:szCs w:val="28"/>
        </w:rPr>
      </w:pPr>
    </w:p>
    <w:p w:rsidR="000529AA" w:rsidRDefault="000529AA" w:rsidP="00EF6C6B">
      <w:pPr>
        <w:spacing w:after="0" w:line="240" w:lineRule="auto"/>
        <w:jc w:val="both"/>
        <w:rPr>
          <w:rFonts w:ascii="Times New Roman" w:hAnsi="Times New Roman" w:cs="Times New Roman"/>
          <w:sz w:val="28"/>
          <w:szCs w:val="28"/>
        </w:rPr>
      </w:pPr>
    </w:p>
    <w:p w:rsidR="00EF6C6B" w:rsidRDefault="00EF6C6B" w:rsidP="00EF6C6B">
      <w:pPr>
        <w:spacing w:after="0" w:line="240" w:lineRule="auto"/>
        <w:jc w:val="both"/>
        <w:rPr>
          <w:rFonts w:ascii="Times New Roman" w:hAnsi="Times New Roman" w:cs="Times New Roman"/>
          <w:sz w:val="28"/>
          <w:szCs w:val="28"/>
        </w:rPr>
      </w:pPr>
    </w:p>
    <w:p w:rsidR="00314127" w:rsidRPr="00314127" w:rsidRDefault="00314127" w:rsidP="00314127">
      <w:pPr>
        <w:spacing w:after="0" w:line="240" w:lineRule="auto"/>
        <w:ind w:firstLine="709"/>
        <w:jc w:val="both"/>
        <w:rPr>
          <w:rFonts w:ascii="Times New Roman" w:eastAsia="Calibri" w:hAnsi="Times New Roman" w:cs="Times New Roman"/>
          <w:b/>
          <w:sz w:val="28"/>
          <w:szCs w:val="28"/>
        </w:rPr>
      </w:pPr>
      <w:r w:rsidRPr="00314127">
        <w:rPr>
          <w:rFonts w:ascii="Times New Roman" w:eastAsia="Calibri" w:hAnsi="Times New Roman" w:cs="Times New Roman"/>
          <w:b/>
          <w:sz w:val="28"/>
          <w:szCs w:val="28"/>
        </w:rPr>
        <w:lastRenderedPageBreak/>
        <w:t>1. Описание фонда оценочных средств (оценочных материалов)</w:t>
      </w:r>
    </w:p>
    <w:p w:rsidR="00314127" w:rsidRPr="00314127" w:rsidRDefault="00314127" w:rsidP="00314127">
      <w:pPr>
        <w:spacing w:after="0" w:line="240" w:lineRule="auto"/>
        <w:ind w:firstLine="709"/>
        <w:jc w:val="both"/>
        <w:rPr>
          <w:rFonts w:ascii="Times New Roman" w:eastAsia="Calibri" w:hAnsi="Times New Roman" w:cs="Times New Roman"/>
          <w:sz w:val="28"/>
          <w:szCs w:val="28"/>
        </w:rPr>
      </w:pP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 xml:space="preserve">Фонд оценочных средств (оценочные материалы) включает в себя контрольные задания и (или) вопросы, которые могут быть предложены обучающемуся в рамках текущего контроля успеваемости и промежуточной аттестации по дисциплине (модулю). Указанные контрольные задания и (или) вопросы позволяют оценить достижение обучающимся планируемых результатов обучения по дисциплине (модулю), установленных в соответствующей рабочей программе дисциплины (модуля), а также </w:t>
      </w:r>
      <w:proofErr w:type="spellStart"/>
      <w:r w:rsidRPr="00314127">
        <w:rPr>
          <w:rFonts w:ascii="Times New Roman" w:eastAsia="Calibri" w:hAnsi="Times New Roman" w:cs="Times New Roman"/>
          <w:sz w:val="24"/>
          <w:szCs w:val="24"/>
        </w:rPr>
        <w:t>сформированность</w:t>
      </w:r>
      <w:proofErr w:type="spellEnd"/>
      <w:r w:rsidRPr="00314127">
        <w:rPr>
          <w:rFonts w:ascii="Times New Roman" w:eastAsia="Calibri" w:hAnsi="Times New Roman" w:cs="Times New Roman"/>
          <w:sz w:val="24"/>
          <w:szCs w:val="24"/>
        </w:rPr>
        <w:t xml:space="preserve"> компетенций, установленных в соответствующей общей характеристике основной профессиональной образовательной программы.</w:t>
      </w:r>
    </w:p>
    <w:p w:rsidR="00314127" w:rsidRPr="00314127" w:rsidRDefault="00314127" w:rsidP="00314127">
      <w:pPr>
        <w:spacing w:after="0" w:line="240" w:lineRule="auto"/>
        <w:ind w:firstLine="709"/>
        <w:jc w:val="both"/>
        <w:rPr>
          <w:rFonts w:ascii="Times New Roman" w:eastAsia="Calibri" w:hAnsi="Times New Roman" w:cs="Times New Roman"/>
          <w:b/>
          <w:sz w:val="24"/>
          <w:szCs w:val="24"/>
        </w:rPr>
      </w:pPr>
      <w:r w:rsidRPr="00314127">
        <w:rPr>
          <w:rFonts w:ascii="Times New Roman" w:eastAsia="Calibri" w:hAnsi="Times New Roman" w:cs="Times New Roman"/>
          <w:sz w:val="24"/>
          <w:szCs w:val="24"/>
        </w:rPr>
        <w:t>Полные наименования компетенций и индикаторов их достижения представлены в общей характеристике основной профессиональной образовательной программы.</w:t>
      </w:r>
    </w:p>
    <w:p w:rsidR="00EF6C6B" w:rsidRDefault="00EF6C6B" w:rsidP="00EF6C6B">
      <w:pPr>
        <w:spacing w:after="0" w:line="240" w:lineRule="auto"/>
        <w:ind w:firstLine="709"/>
        <w:jc w:val="both"/>
        <w:rPr>
          <w:rFonts w:ascii="Times New Roman" w:hAnsi="Times New Roman" w:cs="Times New Roman"/>
          <w:sz w:val="28"/>
          <w:szCs w:val="28"/>
        </w:rPr>
      </w:pPr>
    </w:p>
    <w:p w:rsidR="00314127" w:rsidRPr="00314127" w:rsidRDefault="00314127" w:rsidP="00314127">
      <w:pPr>
        <w:spacing w:after="0" w:line="240" w:lineRule="auto"/>
        <w:ind w:firstLine="709"/>
        <w:jc w:val="both"/>
        <w:rPr>
          <w:rFonts w:ascii="Times New Roman" w:eastAsia="Calibri" w:hAnsi="Times New Roman" w:cs="Times New Roman"/>
          <w:b/>
          <w:sz w:val="28"/>
          <w:szCs w:val="28"/>
        </w:rPr>
      </w:pPr>
      <w:r w:rsidRPr="00314127">
        <w:rPr>
          <w:rFonts w:ascii="Times New Roman" w:eastAsia="Calibri" w:hAnsi="Times New Roman" w:cs="Times New Roman"/>
          <w:b/>
          <w:sz w:val="28"/>
          <w:szCs w:val="28"/>
        </w:rPr>
        <w:t xml:space="preserve">2. Оценочные средства (оценочные материалы) для проведения текущего контроля успеваемости </w:t>
      </w:r>
      <w:bookmarkStart w:id="1" w:name="_Hlk10987176"/>
      <w:r w:rsidRPr="00314127">
        <w:rPr>
          <w:rFonts w:ascii="Times New Roman" w:eastAsia="Calibri" w:hAnsi="Times New Roman" w:cs="Times New Roman"/>
          <w:b/>
          <w:sz w:val="28"/>
          <w:szCs w:val="28"/>
        </w:rPr>
        <w:t>обучающихся</w:t>
      </w:r>
      <w:bookmarkEnd w:id="1"/>
      <w:r w:rsidRPr="00314127">
        <w:rPr>
          <w:rFonts w:ascii="Times New Roman" w:eastAsia="Calibri" w:hAnsi="Times New Roman" w:cs="Times New Roman"/>
          <w:b/>
          <w:sz w:val="28"/>
          <w:szCs w:val="28"/>
        </w:rPr>
        <w:t xml:space="preserve"> по дисциплине (модулю)</w:t>
      </w:r>
    </w:p>
    <w:p w:rsidR="00314127" w:rsidRDefault="00314127" w:rsidP="00314127">
      <w:pPr>
        <w:spacing w:after="0" w:line="240" w:lineRule="auto"/>
        <w:ind w:firstLine="709"/>
        <w:jc w:val="both"/>
        <w:rPr>
          <w:rFonts w:ascii="Times New Roman" w:hAnsi="Times New Roman" w:cs="Times New Roman"/>
          <w:b/>
          <w:sz w:val="28"/>
          <w:szCs w:val="28"/>
        </w:rPr>
      </w:pPr>
    </w:p>
    <w:p w:rsidR="00314127" w:rsidRPr="00314127" w:rsidRDefault="00B806AA" w:rsidP="0031412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7 </w:t>
      </w:r>
      <w:r w:rsidR="00314127" w:rsidRPr="00314127">
        <w:rPr>
          <w:rFonts w:ascii="Times New Roman" w:eastAsia="Calibri" w:hAnsi="Times New Roman" w:cs="Times New Roman"/>
          <w:b/>
          <w:sz w:val="28"/>
          <w:szCs w:val="28"/>
        </w:rPr>
        <w:t>семестр</w:t>
      </w:r>
    </w:p>
    <w:p w:rsidR="00314127" w:rsidRPr="00B5685E" w:rsidRDefault="00314127" w:rsidP="00314127">
      <w:pPr>
        <w:spacing w:after="0" w:line="240" w:lineRule="auto"/>
        <w:ind w:firstLine="709"/>
        <w:jc w:val="both"/>
        <w:rPr>
          <w:rFonts w:ascii="Times New Roman" w:eastAsia="Calibri" w:hAnsi="Times New Roman" w:cs="Times New Roman"/>
          <w:b/>
          <w:sz w:val="24"/>
          <w:szCs w:val="24"/>
        </w:rPr>
      </w:pP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b/>
          <w:sz w:val="24"/>
          <w:szCs w:val="24"/>
        </w:rPr>
        <w:t xml:space="preserve">Перечень контрольных заданий и (или) вопросов для оценки </w:t>
      </w:r>
      <w:proofErr w:type="spellStart"/>
      <w:r w:rsidRPr="00314127">
        <w:rPr>
          <w:rFonts w:ascii="Times New Roman" w:eastAsia="Calibri" w:hAnsi="Times New Roman" w:cs="Times New Roman"/>
          <w:b/>
          <w:sz w:val="24"/>
          <w:szCs w:val="24"/>
        </w:rPr>
        <w:t>с</w:t>
      </w:r>
      <w:r w:rsidR="00B806AA">
        <w:rPr>
          <w:rFonts w:ascii="Times New Roman" w:eastAsia="Calibri" w:hAnsi="Times New Roman" w:cs="Times New Roman"/>
          <w:b/>
          <w:sz w:val="24"/>
          <w:szCs w:val="24"/>
        </w:rPr>
        <w:t>формированности</w:t>
      </w:r>
      <w:proofErr w:type="spellEnd"/>
      <w:r w:rsidR="00B806AA">
        <w:rPr>
          <w:rFonts w:ascii="Times New Roman" w:eastAsia="Calibri" w:hAnsi="Times New Roman" w:cs="Times New Roman"/>
          <w:b/>
          <w:sz w:val="24"/>
          <w:szCs w:val="24"/>
        </w:rPr>
        <w:t xml:space="preserve"> компетенции ПК-15</w:t>
      </w:r>
      <w:r w:rsidRPr="00314127">
        <w:rPr>
          <w:rFonts w:ascii="Times New Roman" w:eastAsia="Calibri" w:hAnsi="Times New Roman" w:cs="Times New Roman"/>
          <w:b/>
          <w:sz w:val="24"/>
          <w:szCs w:val="24"/>
        </w:rPr>
        <w:t xml:space="preserve"> (контролируемый индик</w:t>
      </w:r>
      <w:r w:rsidR="00B806AA">
        <w:rPr>
          <w:rFonts w:ascii="Times New Roman" w:eastAsia="Calibri" w:hAnsi="Times New Roman" w:cs="Times New Roman"/>
          <w:b/>
          <w:sz w:val="24"/>
          <w:szCs w:val="24"/>
        </w:rPr>
        <w:t>атор достижения компетенции ПК-15</w:t>
      </w:r>
      <w:r w:rsidRPr="00314127">
        <w:rPr>
          <w:rFonts w:ascii="Times New Roman" w:eastAsia="Calibri" w:hAnsi="Times New Roman" w:cs="Times New Roman"/>
          <w:b/>
          <w:sz w:val="24"/>
          <w:szCs w:val="24"/>
        </w:rPr>
        <w:t>.1)</w:t>
      </w:r>
    </w:p>
    <w:p w:rsidR="00314127" w:rsidRPr="00314127" w:rsidRDefault="00314127" w:rsidP="00314127">
      <w:pPr>
        <w:spacing w:after="0" w:line="240" w:lineRule="auto"/>
        <w:ind w:firstLine="709"/>
        <w:jc w:val="both"/>
        <w:rPr>
          <w:rFonts w:ascii="Times New Roman" w:hAnsi="Times New Roman" w:cs="Times New Roman"/>
          <w:sz w:val="24"/>
          <w:szCs w:val="24"/>
        </w:rPr>
      </w:pP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1. Участником ООО может быть:</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а) дееспособное физическое лицо;</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б) физическое лицо с 16 лет;</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в) государственные органы;</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г) органы местного самоуправления.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2. Вопросы реорганизации и ликвидации унитарного предприятия, назначение его директора решаются: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а) общим собранием предприятия;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б) администрацией предприятия;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в) собственником предприятия;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г) собственником предприятия на общем собрании предприятия.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3. Регистрирующий орган представляет сведения, содержащиеся в едином государственном реестре юридических лиц в государственные внебюджетные фонды для регистрации и снятия с регистрационного учета в качестве страхователей, в срок не более чем:</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а) три рабочих дня;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б) пять рабочих дней;</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в) три календарных дня;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г) пять календарных дней.</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4. Правопреемство юридических лиц на основании разделительного баланса осуществляется в случаях:</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а) слияния;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б) преобразования;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в) выделения;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г) присоединения.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 xml:space="preserve">5. После принятия решения о реорганизации юридическое лицо обязано в письменной форме сообщить в регистрирующий орган о начале процедуры реорганизации, в том числе о форме реорганизации, в течение: </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а) трех рабочих дней;</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lastRenderedPageBreak/>
        <w:t>б) трех календарных дней;</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в) пяти календарных дней;</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г) пяти рабочих дней.</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6. Вкладчики в товариществе на вере:</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а) несут субсидиарную ответственность по долгам товарищества;</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б) несут солидарную ответственность по долгам товарищества;</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в) не несут ответственности;</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г) солидарно несут субсидиарную ответственность.</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7. Прекращение юридического лица, не предусматривающего правопреемства происходит в случае:</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а) преобразования;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б) слияния;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в) ликвидации;</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г) разделения.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8. Доходы, полученные учреждением от деятельности, и имущество, приобретённое за счёт этих доходов, поступают в:</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а) бюджет органа местного самоуправления;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б) бюджет государства;</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в) доход собственника;</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г) самостоятельное распоряжение учреждения.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9. Не является собственником имущества:</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а) потребительский кооператив;</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б) унитарное предприятие;</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в) религиозная организация;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г) фонд.</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10. Не имеют членства следующие виды юридических лиц:</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а) потребительские кооперативы;</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б) товарищества;</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 xml:space="preserve">в) общественные объединения; </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г) религиозные организации.</w:t>
      </w:r>
    </w:p>
    <w:p w:rsidR="00314127" w:rsidRDefault="00314127" w:rsidP="00EF6C6B">
      <w:pPr>
        <w:spacing w:after="0" w:line="240" w:lineRule="auto"/>
        <w:ind w:firstLine="709"/>
        <w:jc w:val="both"/>
        <w:rPr>
          <w:rFonts w:ascii="Times New Roman" w:hAnsi="Times New Roman" w:cs="Times New Roman"/>
          <w:sz w:val="28"/>
          <w:szCs w:val="28"/>
        </w:rPr>
      </w:pP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b/>
          <w:sz w:val="24"/>
          <w:szCs w:val="24"/>
        </w:rPr>
        <w:t xml:space="preserve">Перечень контрольных заданий и (или) вопросов для оценки </w:t>
      </w:r>
      <w:proofErr w:type="spellStart"/>
      <w:r w:rsidRPr="00314127">
        <w:rPr>
          <w:rFonts w:ascii="Times New Roman" w:eastAsia="Calibri" w:hAnsi="Times New Roman" w:cs="Times New Roman"/>
          <w:b/>
          <w:sz w:val="24"/>
          <w:szCs w:val="24"/>
        </w:rPr>
        <w:t>с</w:t>
      </w:r>
      <w:r w:rsidR="00B806AA">
        <w:rPr>
          <w:rFonts w:ascii="Times New Roman" w:eastAsia="Calibri" w:hAnsi="Times New Roman" w:cs="Times New Roman"/>
          <w:b/>
          <w:sz w:val="24"/>
          <w:szCs w:val="24"/>
        </w:rPr>
        <w:t>формированности</w:t>
      </w:r>
      <w:proofErr w:type="spellEnd"/>
      <w:r w:rsidR="00B806AA">
        <w:rPr>
          <w:rFonts w:ascii="Times New Roman" w:eastAsia="Calibri" w:hAnsi="Times New Roman" w:cs="Times New Roman"/>
          <w:b/>
          <w:sz w:val="24"/>
          <w:szCs w:val="24"/>
        </w:rPr>
        <w:t xml:space="preserve"> компетенции ПК-15</w:t>
      </w:r>
      <w:r w:rsidRPr="00314127">
        <w:rPr>
          <w:rFonts w:ascii="Times New Roman" w:eastAsia="Calibri" w:hAnsi="Times New Roman" w:cs="Times New Roman"/>
          <w:b/>
          <w:sz w:val="24"/>
          <w:szCs w:val="24"/>
        </w:rPr>
        <w:t xml:space="preserve"> (контролируемый индик</w:t>
      </w:r>
      <w:r w:rsidR="00B806AA">
        <w:rPr>
          <w:rFonts w:ascii="Times New Roman" w:eastAsia="Calibri" w:hAnsi="Times New Roman" w:cs="Times New Roman"/>
          <w:b/>
          <w:sz w:val="24"/>
          <w:szCs w:val="24"/>
        </w:rPr>
        <w:t>атор достижения компетенции ПК-15</w:t>
      </w:r>
      <w:r w:rsidRPr="00314127">
        <w:rPr>
          <w:rFonts w:ascii="Times New Roman" w:eastAsia="Calibri" w:hAnsi="Times New Roman" w:cs="Times New Roman"/>
          <w:b/>
          <w:sz w:val="24"/>
          <w:szCs w:val="24"/>
        </w:rPr>
        <w:t>.2)</w:t>
      </w:r>
    </w:p>
    <w:p w:rsidR="00314127" w:rsidRPr="00314127" w:rsidRDefault="00314127" w:rsidP="00314127">
      <w:pPr>
        <w:spacing w:after="0" w:line="240" w:lineRule="auto"/>
        <w:ind w:firstLine="709"/>
        <w:jc w:val="both"/>
        <w:rPr>
          <w:rFonts w:ascii="Times New Roman" w:eastAsia="Calibri" w:hAnsi="Times New Roman" w:cs="Times New Roman"/>
          <w:bCs/>
          <w:sz w:val="24"/>
          <w:szCs w:val="24"/>
        </w:rPr>
      </w:pPr>
    </w:p>
    <w:p w:rsidR="00314127" w:rsidRPr="00314127" w:rsidRDefault="00314127" w:rsidP="00314127">
      <w:pPr>
        <w:spacing w:after="0" w:line="240" w:lineRule="auto"/>
        <w:ind w:firstLine="709"/>
        <w:jc w:val="both"/>
        <w:rPr>
          <w:rFonts w:ascii="Times New Roman" w:eastAsia="Calibri" w:hAnsi="Times New Roman" w:cs="Times New Roman"/>
          <w:b/>
          <w:bCs/>
          <w:sz w:val="24"/>
          <w:szCs w:val="24"/>
        </w:rPr>
      </w:pPr>
      <w:r w:rsidRPr="00314127">
        <w:rPr>
          <w:rFonts w:ascii="Times New Roman" w:eastAsia="Calibri" w:hAnsi="Times New Roman" w:cs="Times New Roman"/>
          <w:b/>
          <w:bCs/>
          <w:sz w:val="24"/>
          <w:szCs w:val="24"/>
        </w:rPr>
        <w:t>Задача № 1.</w:t>
      </w:r>
      <w:bookmarkStart w:id="2" w:name="bookmark4"/>
      <w:r w:rsidRPr="00314127">
        <w:rPr>
          <w:rFonts w:ascii="Times New Roman" w:eastAsia="Calibri" w:hAnsi="Times New Roman" w:cs="Times New Roman"/>
          <w:b/>
          <w:bCs/>
          <w:sz w:val="24"/>
          <w:szCs w:val="24"/>
        </w:rPr>
        <w:t xml:space="preserve"> </w:t>
      </w:r>
    </w:p>
    <w:p w:rsidR="00314127" w:rsidRPr="00314127" w:rsidRDefault="00314127" w:rsidP="00314127">
      <w:pPr>
        <w:spacing w:after="0" w:line="240" w:lineRule="auto"/>
        <w:ind w:firstLine="709"/>
        <w:jc w:val="both"/>
        <w:rPr>
          <w:rFonts w:ascii="Times New Roman" w:eastAsia="Calibri" w:hAnsi="Times New Roman" w:cs="Times New Roman"/>
          <w:bCs/>
          <w:sz w:val="24"/>
          <w:szCs w:val="24"/>
        </w:rPr>
      </w:pPr>
      <w:r w:rsidRPr="00314127">
        <w:rPr>
          <w:rFonts w:ascii="Times New Roman" w:eastAsia="Calibri" w:hAnsi="Times New Roman" w:cs="Times New Roman"/>
          <w:bCs/>
          <w:sz w:val="24"/>
          <w:szCs w:val="24"/>
        </w:rPr>
        <w:t>ОАО «Горизонт» обратилось в арбитражный суд с требованием признать недействительным решение налогового органа об отказе в государственной регистрации ООО «Зенит», учредителем которого оно являлось. Отказ в государственной регистрации был мотивирован тем, что в представленных для регистрации документах отсутствует договор аренды помещения, ссылка на который содержится в уставе общества «Зенит». Собственником нежилого помещения, указанного в качестве места нахождения ООО «Зенит», являлся производственный кооператив «Дарья».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В ходе рассмотрения спора в арбитражном суде выяснилось, что договор аренды помещения, на который имелась ссылка в учредительных документах ООО «Зенит», не был заключен.</w:t>
      </w:r>
    </w:p>
    <w:p w:rsidR="00314127" w:rsidRPr="00314127" w:rsidRDefault="00314127" w:rsidP="00314127">
      <w:pPr>
        <w:spacing w:after="0" w:line="240" w:lineRule="auto"/>
        <w:ind w:firstLine="709"/>
        <w:jc w:val="both"/>
        <w:rPr>
          <w:rFonts w:ascii="Times New Roman" w:eastAsia="Calibri" w:hAnsi="Times New Roman" w:cs="Times New Roman"/>
          <w:b/>
          <w:bCs/>
          <w:sz w:val="24"/>
          <w:szCs w:val="24"/>
        </w:rPr>
      </w:pPr>
    </w:p>
    <w:p w:rsidR="00314127" w:rsidRPr="00314127" w:rsidRDefault="00314127" w:rsidP="00314127">
      <w:pPr>
        <w:spacing w:after="0" w:line="240" w:lineRule="auto"/>
        <w:ind w:firstLine="709"/>
        <w:jc w:val="both"/>
        <w:rPr>
          <w:rFonts w:ascii="Times New Roman" w:eastAsia="Calibri" w:hAnsi="Times New Roman" w:cs="Times New Roman"/>
          <w:b/>
          <w:bCs/>
          <w:sz w:val="24"/>
          <w:szCs w:val="24"/>
        </w:rPr>
      </w:pPr>
      <w:r w:rsidRPr="00314127">
        <w:rPr>
          <w:rFonts w:ascii="Times New Roman" w:eastAsia="Calibri" w:hAnsi="Times New Roman" w:cs="Times New Roman"/>
          <w:b/>
          <w:bCs/>
          <w:sz w:val="24"/>
          <w:szCs w:val="24"/>
        </w:rPr>
        <w:t>Задача № 2.</w:t>
      </w:r>
      <w:r w:rsidRPr="00314127">
        <w:rPr>
          <w:rFonts w:ascii="Times New Roman" w:eastAsia="Calibri" w:hAnsi="Times New Roman" w:cs="Times New Roman"/>
          <w:b/>
          <w:bCs/>
          <w:sz w:val="24"/>
          <w:szCs w:val="24"/>
        </w:rPr>
        <w:tab/>
      </w:r>
      <w:bookmarkEnd w:id="2"/>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bookmarkStart w:id="3" w:name="bookmark5"/>
      <w:proofErr w:type="spellStart"/>
      <w:r w:rsidRPr="00314127">
        <w:rPr>
          <w:rFonts w:ascii="Times New Roman" w:eastAsia="Calibri" w:hAnsi="Times New Roman" w:cs="Times New Roman"/>
          <w:sz w:val="24"/>
          <w:szCs w:val="24"/>
        </w:rPr>
        <w:t>Смородинский</w:t>
      </w:r>
      <w:proofErr w:type="spellEnd"/>
      <w:r w:rsidRPr="00314127">
        <w:rPr>
          <w:rFonts w:ascii="Times New Roman" w:eastAsia="Calibri" w:hAnsi="Times New Roman" w:cs="Times New Roman"/>
          <w:sz w:val="24"/>
          <w:szCs w:val="24"/>
        </w:rPr>
        <w:t xml:space="preserve"> обратился к учредителям ООО «Кедр» с требованием принять его в состав участников общества и назначить председателем совета директоров вместо своего умершего дяди, наследником которого он является.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lastRenderedPageBreak/>
        <w:t xml:space="preserve">Участники ООО «Кедр» отказались принять </w:t>
      </w:r>
      <w:proofErr w:type="spellStart"/>
      <w:r w:rsidRPr="00314127">
        <w:rPr>
          <w:rFonts w:ascii="Times New Roman" w:eastAsia="Calibri" w:hAnsi="Times New Roman" w:cs="Times New Roman"/>
          <w:sz w:val="24"/>
          <w:szCs w:val="24"/>
        </w:rPr>
        <w:t>Смородинского</w:t>
      </w:r>
      <w:proofErr w:type="spellEnd"/>
      <w:r w:rsidRPr="00314127">
        <w:rPr>
          <w:rFonts w:ascii="Times New Roman" w:eastAsia="Calibri" w:hAnsi="Times New Roman" w:cs="Times New Roman"/>
          <w:sz w:val="24"/>
          <w:szCs w:val="24"/>
        </w:rPr>
        <w:t xml:space="preserve"> в члены общества и выплатили ему стоимость вклада дяди в уставном капитале общества.</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proofErr w:type="spellStart"/>
      <w:r w:rsidRPr="00314127">
        <w:rPr>
          <w:rFonts w:ascii="Times New Roman" w:eastAsia="Calibri" w:hAnsi="Times New Roman" w:cs="Times New Roman"/>
          <w:sz w:val="24"/>
          <w:szCs w:val="24"/>
        </w:rPr>
        <w:t>Смородинский</w:t>
      </w:r>
      <w:proofErr w:type="spellEnd"/>
      <w:r w:rsidRPr="00314127">
        <w:rPr>
          <w:rFonts w:ascii="Times New Roman" w:eastAsia="Calibri" w:hAnsi="Times New Roman" w:cs="Times New Roman"/>
          <w:sz w:val="24"/>
          <w:szCs w:val="24"/>
        </w:rPr>
        <w:t xml:space="preserve"> обратился в арбитражный суд с иском к обществу, мотивируя свои требования тем, что он является правопреемником умершего дяди по всем его правам и обязанностям.</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p>
    <w:p w:rsidR="00314127" w:rsidRPr="00314127" w:rsidRDefault="00314127" w:rsidP="00314127">
      <w:pPr>
        <w:spacing w:after="0" w:line="240" w:lineRule="auto"/>
        <w:ind w:firstLine="709"/>
        <w:jc w:val="both"/>
        <w:rPr>
          <w:rFonts w:ascii="Times New Roman" w:eastAsia="Calibri" w:hAnsi="Times New Roman" w:cs="Times New Roman"/>
          <w:b/>
          <w:bCs/>
          <w:sz w:val="24"/>
          <w:szCs w:val="24"/>
        </w:rPr>
      </w:pPr>
      <w:r w:rsidRPr="00314127">
        <w:rPr>
          <w:rFonts w:ascii="Times New Roman" w:eastAsia="Calibri" w:hAnsi="Times New Roman" w:cs="Times New Roman"/>
          <w:b/>
          <w:bCs/>
          <w:sz w:val="24"/>
          <w:szCs w:val="24"/>
        </w:rPr>
        <w:t>Задача № 3.</w:t>
      </w:r>
      <w:bookmarkEnd w:id="3"/>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bookmarkStart w:id="4" w:name="bookmark6"/>
      <w:r w:rsidRPr="00314127">
        <w:rPr>
          <w:rFonts w:ascii="Times New Roman" w:eastAsia="Calibri" w:hAnsi="Times New Roman" w:cs="Times New Roman"/>
          <w:sz w:val="24"/>
          <w:szCs w:val="24"/>
        </w:rPr>
        <w:t>Решением арбитражного суда государственная регистрация производственного кооператива «Камертон» была признана недействительной на том основании, что одним из его учредителей выступил орган местного самоуправления — городская администрация. Как было сказано в решении суда, правоспособность юридического лица возникает в момент его создания, определяемого моментом государственной регистрации. Следовательно, в силу недействительности акта государственной регистрации правоспособность у производственного кооператива «Камертон» не возникла. Поэтому признание недействительной государственной регистрации кооператива «Камертон» влечет за собой ничтожность всех заключенных им ранее сделок.</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 xml:space="preserve">При рассмотрении спора в апелляционной инстанции арбитражного суда выяснилось, что наряду с городской администрацией учредителями кооператива «Камертон» являлись: коммандитное товарищество «Крокус», а также граждане </w:t>
      </w:r>
      <w:proofErr w:type="spellStart"/>
      <w:r w:rsidRPr="00314127">
        <w:rPr>
          <w:rFonts w:ascii="Times New Roman" w:eastAsia="Calibri" w:hAnsi="Times New Roman" w:cs="Times New Roman"/>
          <w:sz w:val="24"/>
          <w:szCs w:val="24"/>
        </w:rPr>
        <w:t>Паратов</w:t>
      </w:r>
      <w:proofErr w:type="spellEnd"/>
      <w:r w:rsidRPr="00314127">
        <w:rPr>
          <w:rFonts w:ascii="Times New Roman" w:eastAsia="Calibri" w:hAnsi="Times New Roman" w:cs="Times New Roman"/>
          <w:sz w:val="24"/>
          <w:szCs w:val="24"/>
        </w:rPr>
        <w:t xml:space="preserve">, </w:t>
      </w:r>
      <w:proofErr w:type="spellStart"/>
      <w:r w:rsidRPr="00314127">
        <w:rPr>
          <w:rFonts w:ascii="Times New Roman" w:eastAsia="Calibri" w:hAnsi="Times New Roman" w:cs="Times New Roman"/>
          <w:sz w:val="24"/>
          <w:szCs w:val="24"/>
        </w:rPr>
        <w:t>Карандышев</w:t>
      </w:r>
      <w:proofErr w:type="spellEnd"/>
      <w:r w:rsidRPr="00314127">
        <w:rPr>
          <w:rFonts w:ascii="Times New Roman" w:eastAsia="Calibri" w:hAnsi="Times New Roman" w:cs="Times New Roman"/>
          <w:sz w:val="24"/>
          <w:szCs w:val="24"/>
        </w:rPr>
        <w:t xml:space="preserve"> и Кнуров. В уставе кооператива «Камертон» было сказано, что «администрация города владеет долей в размере 51% уставного фонда кооператива, следовательно, обладает 51% голосов на общем собрании членов кооператива».</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p>
    <w:p w:rsidR="00314127" w:rsidRPr="00314127" w:rsidRDefault="00314127" w:rsidP="00314127">
      <w:pPr>
        <w:spacing w:after="0" w:line="240" w:lineRule="auto"/>
        <w:ind w:firstLine="709"/>
        <w:jc w:val="both"/>
        <w:rPr>
          <w:rFonts w:ascii="Times New Roman" w:eastAsia="Calibri" w:hAnsi="Times New Roman" w:cs="Times New Roman"/>
          <w:b/>
          <w:bCs/>
          <w:sz w:val="24"/>
          <w:szCs w:val="24"/>
        </w:rPr>
      </w:pPr>
      <w:r w:rsidRPr="00314127">
        <w:rPr>
          <w:rFonts w:ascii="Times New Roman" w:eastAsia="Calibri" w:hAnsi="Times New Roman" w:cs="Times New Roman"/>
          <w:b/>
          <w:bCs/>
          <w:sz w:val="24"/>
          <w:szCs w:val="24"/>
        </w:rPr>
        <w:t>Задача № 4.</w:t>
      </w:r>
      <w:bookmarkEnd w:id="4"/>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bookmarkStart w:id="5" w:name="bookmark7"/>
      <w:r w:rsidRPr="00314127">
        <w:rPr>
          <w:rFonts w:ascii="Times New Roman" w:eastAsia="Calibri" w:hAnsi="Times New Roman" w:cs="Times New Roman"/>
          <w:sz w:val="24"/>
          <w:szCs w:val="24"/>
        </w:rPr>
        <w:t>Решением общего собрания участников ООО «Ореол» гражданин Петров был исключен из числа его учредителей, так как по прошествии года с момента регистрации общества не внес свой вклад в его уставный капитал. Петров обратился в суд с иском о признании решения собрания участников общества недействительным,</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В судебном заседании было установлено, что ООО «Ореол» с уставным капиталом 300 тыс. руб. было создано гражданами Михайловым, Катаевым и Петровым. В соответствии с учредительным договором Михайлов и Катаев, доли которых в уставном капитале составляли по 10%, к моменту регистрации общества должны были внести по 30 тыс. руб. каждый.</w:t>
      </w:r>
    </w:p>
    <w:p w:rsidR="00314127" w:rsidRPr="00314127" w:rsidRDefault="00314127" w:rsidP="00314127">
      <w:pPr>
        <w:spacing w:after="0" w:line="240" w:lineRule="auto"/>
        <w:ind w:firstLine="709"/>
        <w:jc w:val="both"/>
        <w:rPr>
          <w:rFonts w:ascii="Times New Roman" w:eastAsia="Calibri" w:hAnsi="Times New Roman" w:cs="Times New Roman"/>
          <w:bCs/>
          <w:sz w:val="24"/>
          <w:szCs w:val="24"/>
        </w:rPr>
      </w:pPr>
      <w:r w:rsidRPr="00314127">
        <w:rPr>
          <w:rFonts w:ascii="Times New Roman" w:eastAsia="Calibri" w:hAnsi="Times New Roman" w:cs="Times New Roman"/>
          <w:bCs/>
          <w:sz w:val="24"/>
          <w:szCs w:val="24"/>
        </w:rPr>
        <w:t>Петров, для которого составляла 80%, обязался внести 240 тыс. руб. в, течение года после регистрации общества. Невозможность своевременно внести вклад в уставный капитал Петров объяснял временными финансовыми трудностями и заверял других участников, что вскоре внесет недостающую сумму. Решение об исключении Петрова было принято Михайловым и Катаевым на общем собрании участников общества. Петров также принимал участие в собрании и проголосовал против своего исключения.</w:t>
      </w:r>
    </w:p>
    <w:p w:rsidR="00314127" w:rsidRPr="00314127" w:rsidRDefault="00314127" w:rsidP="00314127">
      <w:pPr>
        <w:spacing w:after="0" w:line="240" w:lineRule="auto"/>
        <w:ind w:firstLine="709"/>
        <w:jc w:val="both"/>
        <w:rPr>
          <w:rFonts w:ascii="Times New Roman" w:eastAsia="Calibri" w:hAnsi="Times New Roman" w:cs="Times New Roman"/>
          <w:bCs/>
          <w:sz w:val="24"/>
          <w:szCs w:val="24"/>
        </w:rPr>
      </w:pPr>
    </w:p>
    <w:p w:rsidR="00314127" w:rsidRPr="00314127" w:rsidRDefault="00314127" w:rsidP="00314127">
      <w:pPr>
        <w:spacing w:after="0" w:line="240" w:lineRule="auto"/>
        <w:ind w:firstLine="709"/>
        <w:jc w:val="both"/>
        <w:rPr>
          <w:rFonts w:ascii="Times New Roman" w:eastAsia="Calibri" w:hAnsi="Times New Roman" w:cs="Times New Roman"/>
          <w:b/>
          <w:bCs/>
          <w:sz w:val="24"/>
          <w:szCs w:val="24"/>
        </w:rPr>
      </w:pPr>
      <w:r w:rsidRPr="00314127">
        <w:rPr>
          <w:rFonts w:ascii="Times New Roman" w:eastAsia="Calibri" w:hAnsi="Times New Roman" w:cs="Times New Roman"/>
          <w:b/>
          <w:bCs/>
          <w:sz w:val="24"/>
          <w:szCs w:val="24"/>
        </w:rPr>
        <w:t>Задача № 5.</w:t>
      </w:r>
      <w:bookmarkEnd w:id="5"/>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Группа акционеров, обладающих обыкновенными именными акциями ЗАО «</w:t>
      </w:r>
      <w:proofErr w:type="spellStart"/>
      <w:r w:rsidRPr="00314127">
        <w:rPr>
          <w:rFonts w:ascii="Times New Roman" w:eastAsia="Calibri" w:hAnsi="Times New Roman" w:cs="Times New Roman"/>
          <w:sz w:val="24"/>
          <w:szCs w:val="24"/>
        </w:rPr>
        <w:t>Лайф</w:t>
      </w:r>
      <w:proofErr w:type="spellEnd"/>
      <w:r w:rsidRPr="00314127">
        <w:rPr>
          <w:rFonts w:ascii="Times New Roman" w:eastAsia="Calibri" w:hAnsi="Times New Roman" w:cs="Times New Roman"/>
          <w:sz w:val="24"/>
          <w:szCs w:val="24"/>
        </w:rPr>
        <w:t xml:space="preserve">», а именно граждане Бугрин (20%), </w:t>
      </w:r>
      <w:proofErr w:type="spellStart"/>
      <w:r w:rsidRPr="00314127">
        <w:rPr>
          <w:rFonts w:ascii="Times New Roman" w:eastAsia="Calibri" w:hAnsi="Times New Roman" w:cs="Times New Roman"/>
          <w:sz w:val="24"/>
          <w:szCs w:val="24"/>
        </w:rPr>
        <w:t>Скоринко</w:t>
      </w:r>
      <w:proofErr w:type="spellEnd"/>
      <w:r w:rsidRPr="00314127">
        <w:rPr>
          <w:rFonts w:ascii="Times New Roman" w:eastAsia="Calibri" w:hAnsi="Times New Roman" w:cs="Times New Roman"/>
          <w:sz w:val="24"/>
          <w:szCs w:val="24"/>
        </w:rPr>
        <w:t xml:space="preserve"> (20%) и Медников (40%), заключили между собой соглашение от 1 апреля 2007 г. о том, что на общем собрании акционеров, назначенном на 15 мая 2007 г., они будут голосовать за одобрение сделки, в соответствии с которой Медников намеревался продать ЗАО -</w:t>
      </w:r>
      <w:proofErr w:type="spellStart"/>
      <w:r w:rsidRPr="00314127">
        <w:rPr>
          <w:rFonts w:ascii="Times New Roman" w:eastAsia="Calibri" w:hAnsi="Times New Roman" w:cs="Times New Roman"/>
          <w:sz w:val="24"/>
          <w:szCs w:val="24"/>
        </w:rPr>
        <w:t>Лайф</w:t>
      </w:r>
      <w:proofErr w:type="spellEnd"/>
      <w:r w:rsidRPr="00314127">
        <w:rPr>
          <w:rFonts w:ascii="Times New Roman" w:eastAsia="Calibri" w:hAnsi="Times New Roman" w:cs="Times New Roman"/>
          <w:sz w:val="24"/>
          <w:szCs w:val="24"/>
        </w:rPr>
        <w:t>» некачественные строительные материалы.</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 xml:space="preserve">Между тем, на общем собрании акционеров голоса распределились следующим образом: Медников проголосовал «за»; </w:t>
      </w:r>
      <w:proofErr w:type="spellStart"/>
      <w:r w:rsidRPr="00314127">
        <w:rPr>
          <w:rFonts w:ascii="Times New Roman" w:eastAsia="Calibri" w:hAnsi="Times New Roman" w:cs="Times New Roman"/>
          <w:sz w:val="24"/>
          <w:szCs w:val="24"/>
        </w:rPr>
        <w:t>Скоринко</w:t>
      </w:r>
      <w:proofErr w:type="spellEnd"/>
      <w:r w:rsidRPr="00314127">
        <w:rPr>
          <w:rFonts w:ascii="Times New Roman" w:eastAsia="Calibri" w:hAnsi="Times New Roman" w:cs="Times New Roman"/>
          <w:sz w:val="24"/>
          <w:szCs w:val="24"/>
        </w:rPr>
        <w:t xml:space="preserve">, </w:t>
      </w:r>
      <w:proofErr w:type="spellStart"/>
      <w:r w:rsidRPr="00314127">
        <w:rPr>
          <w:rFonts w:ascii="Times New Roman" w:eastAsia="Calibri" w:hAnsi="Times New Roman" w:cs="Times New Roman"/>
          <w:sz w:val="24"/>
          <w:szCs w:val="24"/>
        </w:rPr>
        <w:t>Чухланцев</w:t>
      </w:r>
      <w:proofErr w:type="spellEnd"/>
      <w:r w:rsidRPr="00314127">
        <w:rPr>
          <w:rFonts w:ascii="Times New Roman" w:eastAsia="Calibri" w:hAnsi="Times New Roman" w:cs="Times New Roman"/>
          <w:sz w:val="24"/>
          <w:szCs w:val="24"/>
        </w:rPr>
        <w:t xml:space="preserve">, владеющий 20% акций, проголосовали «против»; Бутрин в бюллетене для голосования по данному вопросу сделал отметки одновременно в графах «за» и «воздержался». Председательствующий на общем собрании генеральный директор общества Кобылянский в протоколе общего собрания </w:t>
      </w:r>
      <w:r w:rsidRPr="00314127">
        <w:rPr>
          <w:rFonts w:ascii="Times New Roman" w:eastAsia="Calibri" w:hAnsi="Times New Roman" w:cs="Times New Roman"/>
          <w:sz w:val="24"/>
          <w:szCs w:val="24"/>
        </w:rPr>
        <w:lastRenderedPageBreak/>
        <w:t xml:space="preserve">акционеров указал, что предложение по заключению договора с </w:t>
      </w:r>
      <w:proofErr w:type="spellStart"/>
      <w:r w:rsidRPr="00314127">
        <w:rPr>
          <w:rFonts w:ascii="Times New Roman" w:eastAsia="Calibri" w:hAnsi="Times New Roman" w:cs="Times New Roman"/>
          <w:sz w:val="24"/>
          <w:szCs w:val="24"/>
        </w:rPr>
        <w:t>Медниховым</w:t>
      </w:r>
      <w:proofErr w:type="spellEnd"/>
      <w:r w:rsidRPr="00314127">
        <w:rPr>
          <w:rFonts w:ascii="Times New Roman" w:eastAsia="Calibri" w:hAnsi="Times New Roman" w:cs="Times New Roman"/>
          <w:sz w:val="24"/>
          <w:szCs w:val="24"/>
        </w:rPr>
        <w:t xml:space="preserve"> отклонено общим собранием.</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Не согласившись с протоколом общего собрания акционеров и отказом Кобылянского заключить соответствующий договор, Медников обратился в арбитражный суд с иском к ЗАО «</w:t>
      </w:r>
      <w:proofErr w:type="spellStart"/>
      <w:r w:rsidRPr="00314127">
        <w:rPr>
          <w:rFonts w:ascii="Times New Roman" w:eastAsia="Calibri" w:hAnsi="Times New Roman" w:cs="Times New Roman"/>
          <w:sz w:val="24"/>
          <w:szCs w:val="24"/>
        </w:rPr>
        <w:t>Лайф</w:t>
      </w:r>
      <w:proofErr w:type="spellEnd"/>
      <w:r w:rsidRPr="00314127">
        <w:rPr>
          <w:rFonts w:ascii="Times New Roman" w:eastAsia="Calibri" w:hAnsi="Times New Roman" w:cs="Times New Roman"/>
          <w:sz w:val="24"/>
          <w:szCs w:val="24"/>
        </w:rPr>
        <w:t xml:space="preserve">» и </w:t>
      </w:r>
      <w:proofErr w:type="spellStart"/>
      <w:r w:rsidRPr="00314127">
        <w:rPr>
          <w:rFonts w:ascii="Times New Roman" w:eastAsia="Calibri" w:hAnsi="Times New Roman" w:cs="Times New Roman"/>
          <w:sz w:val="24"/>
          <w:szCs w:val="24"/>
        </w:rPr>
        <w:t>Скоринко</w:t>
      </w:r>
      <w:proofErr w:type="spellEnd"/>
      <w:r w:rsidRPr="00314127">
        <w:rPr>
          <w:rFonts w:ascii="Times New Roman" w:eastAsia="Calibri" w:hAnsi="Times New Roman" w:cs="Times New Roman"/>
          <w:sz w:val="24"/>
          <w:szCs w:val="24"/>
        </w:rPr>
        <w:t xml:space="preserve"> со следующими требованиями: 1) признать; что решение общего собрания акционеров от 15 мая 2007 г. одобрило договор о приобретении ЗАО «</w:t>
      </w:r>
      <w:proofErr w:type="spellStart"/>
      <w:r w:rsidRPr="00314127">
        <w:rPr>
          <w:rFonts w:ascii="Times New Roman" w:eastAsia="Calibri" w:hAnsi="Times New Roman" w:cs="Times New Roman"/>
          <w:sz w:val="24"/>
          <w:szCs w:val="24"/>
        </w:rPr>
        <w:t>Лайф</w:t>
      </w:r>
      <w:proofErr w:type="spellEnd"/>
      <w:r w:rsidRPr="00314127">
        <w:rPr>
          <w:rFonts w:ascii="Times New Roman" w:eastAsia="Calibri" w:hAnsi="Times New Roman" w:cs="Times New Roman"/>
          <w:sz w:val="24"/>
          <w:szCs w:val="24"/>
        </w:rPr>
        <w:t xml:space="preserve">» у </w:t>
      </w:r>
      <w:proofErr w:type="spellStart"/>
      <w:r w:rsidRPr="00314127">
        <w:rPr>
          <w:rFonts w:ascii="Times New Roman" w:eastAsia="Calibri" w:hAnsi="Times New Roman" w:cs="Times New Roman"/>
          <w:sz w:val="24"/>
          <w:szCs w:val="24"/>
        </w:rPr>
        <w:t>Медникова</w:t>
      </w:r>
      <w:proofErr w:type="spellEnd"/>
      <w:r w:rsidRPr="00314127">
        <w:rPr>
          <w:rFonts w:ascii="Times New Roman" w:eastAsia="Calibri" w:hAnsi="Times New Roman" w:cs="Times New Roman"/>
          <w:sz w:val="24"/>
          <w:szCs w:val="24"/>
        </w:rPr>
        <w:t xml:space="preserve"> строительных материалов, поскольку </w:t>
      </w:r>
      <w:proofErr w:type="spellStart"/>
      <w:r w:rsidRPr="00314127">
        <w:rPr>
          <w:rFonts w:ascii="Times New Roman" w:eastAsia="Calibri" w:hAnsi="Times New Roman" w:cs="Times New Roman"/>
          <w:sz w:val="24"/>
          <w:szCs w:val="24"/>
        </w:rPr>
        <w:t>Скоринко</w:t>
      </w:r>
      <w:proofErr w:type="spellEnd"/>
      <w:r w:rsidRPr="00314127">
        <w:rPr>
          <w:rFonts w:ascii="Times New Roman" w:eastAsia="Calibri" w:hAnsi="Times New Roman" w:cs="Times New Roman"/>
          <w:sz w:val="24"/>
          <w:szCs w:val="24"/>
        </w:rPr>
        <w:t xml:space="preserve"> голосовал в нарушение заключенного между акционерами соглашения от 1 апреля 2007 г., а бюллетень Бутрина надо трактовать как голос, поданный за совершение сделки</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 xml:space="preserve">принудить генерального директора общества Кобылянского заключить с </w:t>
      </w:r>
      <w:proofErr w:type="spellStart"/>
      <w:r w:rsidRPr="00314127">
        <w:rPr>
          <w:rFonts w:ascii="Times New Roman" w:eastAsia="Calibri" w:hAnsi="Times New Roman" w:cs="Times New Roman"/>
          <w:sz w:val="24"/>
          <w:szCs w:val="24"/>
        </w:rPr>
        <w:t>Медниковым</w:t>
      </w:r>
      <w:proofErr w:type="spellEnd"/>
      <w:r w:rsidRPr="00314127">
        <w:rPr>
          <w:rFonts w:ascii="Times New Roman" w:eastAsia="Calibri" w:hAnsi="Times New Roman" w:cs="Times New Roman"/>
          <w:sz w:val="24"/>
          <w:szCs w:val="24"/>
        </w:rPr>
        <w:t xml:space="preserve"> договор на приобретение строительных материалов;</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 xml:space="preserve">взыскать с Кобылянского и </w:t>
      </w:r>
      <w:proofErr w:type="spellStart"/>
      <w:r w:rsidRPr="00314127">
        <w:rPr>
          <w:rFonts w:ascii="Times New Roman" w:eastAsia="Calibri" w:hAnsi="Times New Roman" w:cs="Times New Roman"/>
          <w:sz w:val="24"/>
          <w:szCs w:val="24"/>
        </w:rPr>
        <w:t>Скоринко</w:t>
      </w:r>
      <w:proofErr w:type="spellEnd"/>
      <w:r w:rsidRPr="00314127">
        <w:rPr>
          <w:rFonts w:ascii="Times New Roman" w:eastAsia="Calibri" w:hAnsi="Times New Roman" w:cs="Times New Roman"/>
          <w:sz w:val="24"/>
          <w:szCs w:val="24"/>
        </w:rPr>
        <w:t xml:space="preserve"> на основании п. 3 ст. 53 ГК РФ в пользу истца убытки, причиненные тем, что договор купли- продажи стройматериалов не был заключен своевременно;</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 xml:space="preserve">взыскать со </w:t>
      </w:r>
      <w:proofErr w:type="spellStart"/>
      <w:r w:rsidRPr="00314127">
        <w:rPr>
          <w:rFonts w:ascii="Times New Roman" w:eastAsia="Calibri" w:hAnsi="Times New Roman" w:cs="Times New Roman"/>
          <w:sz w:val="24"/>
          <w:szCs w:val="24"/>
        </w:rPr>
        <w:t>Скоринко</w:t>
      </w:r>
      <w:proofErr w:type="spellEnd"/>
      <w:r w:rsidRPr="00314127">
        <w:rPr>
          <w:rFonts w:ascii="Times New Roman" w:eastAsia="Calibri" w:hAnsi="Times New Roman" w:cs="Times New Roman"/>
          <w:sz w:val="24"/>
          <w:szCs w:val="24"/>
        </w:rPr>
        <w:t xml:space="preserve"> в пользу истца штраф за нарушение условий соглашения от 1 апреля 2007 г., предусмотренный указанным соглашением.</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 xml:space="preserve">Возражая против иска, </w:t>
      </w:r>
      <w:proofErr w:type="spellStart"/>
      <w:r w:rsidRPr="00314127">
        <w:rPr>
          <w:rFonts w:ascii="Times New Roman" w:eastAsia="Calibri" w:hAnsi="Times New Roman" w:cs="Times New Roman"/>
          <w:sz w:val="24"/>
          <w:szCs w:val="24"/>
        </w:rPr>
        <w:t>Скоринко</w:t>
      </w:r>
      <w:proofErr w:type="spellEnd"/>
      <w:r w:rsidRPr="00314127">
        <w:rPr>
          <w:rFonts w:ascii="Times New Roman" w:eastAsia="Calibri" w:hAnsi="Times New Roman" w:cs="Times New Roman"/>
          <w:sz w:val="24"/>
          <w:szCs w:val="24"/>
        </w:rPr>
        <w:t xml:space="preserve"> утверждал, что своим голосованием прошв заключения договора о приобретении некачественных строительных материалов он действовал в интересах акционерного общества, а потому в его поведении нет ничего противоправного.</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Выступая от имени общества, Кобылянский заявил, что не имеет права заключить соответствующий договор, поскольку содержание протокола общего собрания полностью соответствует результатам голосования акционеров.</w:t>
      </w:r>
    </w:p>
    <w:p w:rsidR="00314127" w:rsidRDefault="00314127" w:rsidP="00EF6C6B">
      <w:pPr>
        <w:spacing w:after="0" w:line="240" w:lineRule="auto"/>
        <w:ind w:firstLine="709"/>
        <w:jc w:val="both"/>
        <w:rPr>
          <w:rFonts w:ascii="Times New Roman" w:hAnsi="Times New Roman" w:cs="Times New Roman"/>
          <w:sz w:val="28"/>
          <w:szCs w:val="28"/>
        </w:rPr>
      </w:pP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b/>
          <w:sz w:val="24"/>
          <w:szCs w:val="24"/>
        </w:rPr>
        <w:t xml:space="preserve">Перечень контрольных заданий и (или) вопросов для оценки </w:t>
      </w:r>
      <w:proofErr w:type="spellStart"/>
      <w:r w:rsidRPr="00314127">
        <w:rPr>
          <w:rFonts w:ascii="Times New Roman" w:eastAsia="Calibri" w:hAnsi="Times New Roman" w:cs="Times New Roman"/>
          <w:b/>
          <w:sz w:val="24"/>
          <w:szCs w:val="24"/>
        </w:rPr>
        <w:t>с</w:t>
      </w:r>
      <w:r w:rsidR="00B806AA">
        <w:rPr>
          <w:rFonts w:ascii="Times New Roman" w:eastAsia="Calibri" w:hAnsi="Times New Roman" w:cs="Times New Roman"/>
          <w:b/>
          <w:sz w:val="24"/>
          <w:szCs w:val="24"/>
        </w:rPr>
        <w:t>формированности</w:t>
      </w:r>
      <w:proofErr w:type="spellEnd"/>
      <w:r w:rsidR="00B806AA">
        <w:rPr>
          <w:rFonts w:ascii="Times New Roman" w:eastAsia="Calibri" w:hAnsi="Times New Roman" w:cs="Times New Roman"/>
          <w:b/>
          <w:sz w:val="24"/>
          <w:szCs w:val="24"/>
        </w:rPr>
        <w:t xml:space="preserve"> компетенции ПК-15</w:t>
      </w:r>
      <w:r w:rsidRPr="00314127">
        <w:rPr>
          <w:rFonts w:ascii="Times New Roman" w:eastAsia="Calibri" w:hAnsi="Times New Roman" w:cs="Times New Roman"/>
          <w:b/>
          <w:sz w:val="24"/>
          <w:szCs w:val="24"/>
        </w:rPr>
        <w:t xml:space="preserve"> (контролируемый индик</w:t>
      </w:r>
      <w:r w:rsidR="00B806AA">
        <w:rPr>
          <w:rFonts w:ascii="Times New Roman" w:eastAsia="Calibri" w:hAnsi="Times New Roman" w:cs="Times New Roman"/>
          <w:b/>
          <w:sz w:val="24"/>
          <w:szCs w:val="24"/>
        </w:rPr>
        <w:t>атор достижения компетенции ПК-15</w:t>
      </w:r>
      <w:r w:rsidRPr="00314127">
        <w:rPr>
          <w:rFonts w:ascii="Times New Roman" w:eastAsia="Calibri" w:hAnsi="Times New Roman" w:cs="Times New Roman"/>
          <w:b/>
          <w:sz w:val="24"/>
          <w:szCs w:val="24"/>
        </w:rPr>
        <w:t>.3)</w:t>
      </w:r>
    </w:p>
    <w:p w:rsidR="00314127" w:rsidRPr="00314127" w:rsidRDefault="00314127" w:rsidP="00314127">
      <w:pPr>
        <w:spacing w:after="0" w:line="240" w:lineRule="auto"/>
        <w:ind w:firstLine="709"/>
        <w:jc w:val="both"/>
        <w:rPr>
          <w:rFonts w:ascii="Times New Roman" w:eastAsia="Calibri" w:hAnsi="Times New Roman" w:cs="Times New Roman"/>
          <w:bCs/>
          <w:sz w:val="24"/>
          <w:szCs w:val="24"/>
        </w:rPr>
      </w:pP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1. В государственный реестр не включаются сведения: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а) о представительствах и филиалах;</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б) о том, что юридическое лицо находится процессе ликвидации;</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в) о дате проведения учредительного собрания;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г) о способе образования юридического лица.</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2. Государственная регистрация осуществляется в срок:</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а) не более трех рабочих дней с момента предоставления документов;</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б) не менее пяти рабочих дней с момента предоставления документов;</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в) не более пяти календарных дней с момента предоставления документов;</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г) не более пяти рабочих дней с момента предоставления документов.</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3. Юридическое лицо может быть ликвидировано по решению:</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а) органа, осуществляющего гос. регистрацию этого юридического лица;</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б) его учредителей;</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в) органа местного самоуправления;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г) органа государственной исполнительной власти.</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4. Какой вид реорганизации не может осуществляться в принудительном порядке?</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а) преобразование;</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б) разделение;</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в) слияние;</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г) выделение.</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5. Государственный контроль и надзор осуществляется органами исполнительной власти в порядке, установленном ФЗ «О защите прав юридических лиц и индивидуальных предпринимателей при осуществлении государственного контроля (надзора) и муниципального контроля», в целях:</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lastRenderedPageBreak/>
        <w:t>а) предупреждения и пресечения административных правонарушений;</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б) предупреждения и пресечения нарушений обязательных требований;</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в) предупреждения и пресечения преступлений;</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г) предупреждения и устранения угроз безопасности;</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д) ограничения и устранения вреда;</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е) предупреждения, выявления и пресечения нарушений обязательных требований.</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6. Государственный контроль и надзор осуществляется органами исполнительной власти в соответствии со ст. 2 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посредством:</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а) организации и проведения проверок юридических лиц, индивидуальных предпринимателей;</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б) организации и проведения мероприятий по профилактике нарушений обязательных требований;</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в) мероприятий по контролю, осуществляемых без взаимодействия с юридическими лицами, индивидуальными предпринимателями;</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г) производства по делам об административных правонарушениях;</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 xml:space="preserve">д) </w:t>
      </w:r>
      <w:proofErr w:type="gramStart"/>
      <w:r w:rsidRPr="00314127">
        <w:rPr>
          <w:rFonts w:ascii="Times New Roman" w:eastAsia="Calibri" w:hAnsi="Times New Roman" w:cs="Times New Roman"/>
          <w:sz w:val="24"/>
          <w:szCs w:val="24"/>
        </w:rPr>
        <w:t>принятия</w:t>
      </w:r>
      <w:proofErr w:type="gramEnd"/>
      <w:r w:rsidRPr="00314127">
        <w:rPr>
          <w:rFonts w:ascii="Times New Roman" w:eastAsia="Calibri" w:hAnsi="Times New Roman" w:cs="Times New Roman"/>
          <w:sz w:val="24"/>
          <w:szCs w:val="24"/>
        </w:rPr>
        <w:t xml:space="preserve"> предусмотренных законодательством Российской Федерации мер по пресечению и (или) устранению последствий выявленных нарушений.</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7. Основными формами государственного контроля и надзора, осуществляемого органами исполнительной власти, являются: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1) проверка;</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2) плановое (рейдовое) обследование;</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3) контрольная закупка;</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4) постоянный государственный контроль (надзор);</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5) производство по делам об административных правонарушениях;</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6) лицензионный контроль.</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8. В структуре законодательства, регламентирующего контрольно-надзорные мероприятия, осуществляемые органами исполнительной власти, можно выделить акты:</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а) межотраслевого законодательства в сфере государственного контроля и надзора;</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б) отраслевого законодательства в сфере государственного контроля и надзора;</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в) специализированного законодательства в сфере государственного контроля и надзора;</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г) законодательства об административных правонарушениях;</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д) законодательства о государственной гражданской службе;</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е) законодательства о правоохранительной службе.</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9. В соответствии с ФЗ «О защите прав юридических лиц и индивидуальных предпринимателей при осуществлении государственного контроля (надзора) и муниципального контроля» следующие виды контрольно-надзорных проверок осуществляются органами исполнительной власти:</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а) межотраслевые;</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б) отраслевые;</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в) специализированные;</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г) административно-</w:t>
      </w:r>
      <w:proofErr w:type="spellStart"/>
      <w:r w:rsidRPr="00314127">
        <w:rPr>
          <w:rFonts w:ascii="Times New Roman" w:eastAsia="Calibri" w:hAnsi="Times New Roman" w:cs="Times New Roman"/>
          <w:sz w:val="24"/>
          <w:szCs w:val="24"/>
        </w:rPr>
        <w:t>юрисдикционные</w:t>
      </w:r>
      <w:proofErr w:type="spellEnd"/>
      <w:r w:rsidRPr="00314127">
        <w:rPr>
          <w:rFonts w:ascii="Times New Roman" w:eastAsia="Calibri" w:hAnsi="Times New Roman" w:cs="Times New Roman"/>
          <w:sz w:val="24"/>
          <w:szCs w:val="24"/>
        </w:rPr>
        <w:t>;</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д) оперативно-розыскные.</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10. Основанием внеплановой контрольно-надзорной проверки является поступление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а) совершаемого административного правонарушения;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lastRenderedPageBreak/>
        <w:t>б)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в)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г) нарушение прав потребителей (в случае обращения граждан, права которых нарушены);</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д)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314127" w:rsidRDefault="00314127" w:rsidP="00EF6C6B">
      <w:pPr>
        <w:spacing w:after="0" w:line="240" w:lineRule="auto"/>
        <w:ind w:firstLine="709"/>
        <w:jc w:val="both"/>
        <w:rPr>
          <w:rFonts w:ascii="Times New Roman" w:hAnsi="Times New Roman" w:cs="Times New Roman"/>
          <w:sz w:val="28"/>
          <w:szCs w:val="28"/>
        </w:rPr>
      </w:pPr>
    </w:p>
    <w:p w:rsidR="00314127" w:rsidRPr="00314127" w:rsidRDefault="00314127" w:rsidP="00314127">
      <w:pPr>
        <w:spacing w:after="0" w:line="240" w:lineRule="auto"/>
        <w:ind w:firstLine="709"/>
        <w:jc w:val="both"/>
        <w:rPr>
          <w:rFonts w:ascii="Times New Roman" w:eastAsia="Calibri" w:hAnsi="Times New Roman" w:cs="Times New Roman"/>
          <w:b/>
          <w:sz w:val="28"/>
          <w:szCs w:val="28"/>
        </w:rPr>
      </w:pPr>
      <w:r w:rsidRPr="00314127">
        <w:rPr>
          <w:rFonts w:ascii="Times New Roman" w:eastAsia="Calibri" w:hAnsi="Times New Roman" w:cs="Times New Roman"/>
          <w:b/>
          <w:sz w:val="28"/>
          <w:szCs w:val="28"/>
        </w:rPr>
        <w:t>3.Оценочные средства (оценочные материалы) для проведения промежуточной аттестации обучающихся по дисциплине (модулю)</w:t>
      </w:r>
    </w:p>
    <w:p w:rsidR="00314127" w:rsidRDefault="00314127" w:rsidP="00314127">
      <w:pPr>
        <w:spacing w:after="0" w:line="240" w:lineRule="auto"/>
        <w:ind w:firstLine="709"/>
        <w:jc w:val="both"/>
        <w:rPr>
          <w:rFonts w:ascii="Times New Roman" w:hAnsi="Times New Roman" w:cs="Times New Roman"/>
          <w:b/>
          <w:sz w:val="28"/>
          <w:szCs w:val="28"/>
        </w:rPr>
      </w:pPr>
    </w:p>
    <w:p w:rsidR="00314127" w:rsidRPr="00314127" w:rsidRDefault="00B806AA" w:rsidP="0031412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7 </w:t>
      </w:r>
      <w:r w:rsidR="00314127" w:rsidRPr="00314127">
        <w:rPr>
          <w:rFonts w:ascii="Times New Roman" w:eastAsia="Calibri" w:hAnsi="Times New Roman" w:cs="Times New Roman"/>
          <w:b/>
          <w:sz w:val="28"/>
          <w:szCs w:val="28"/>
        </w:rPr>
        <w:t>семестр</w:t>
      </w:r>
    </w:p>
    <w:p w:rsidR="00314127" w:rsidRPr="00314127" w:rsidRDefault="00314127" w:rsidP="00314127">
      <w:pPr>
        <w:spacing w:after="0" w:line="240" w:lineRule="auto"/>
        <w:ind w:firstLine="709"/>
        <w:jc w:val="both"/>
        <w:rPr>
          <w:rFonts w:ascii="Times New Roman" w:eastAsia="Calibri" w:hAnsi="Times New Roman" w:cs="Times New Roman"/>
          <w:b/>
          <w:sz w:val="28"/>
          <w:szCs w:val="28"/>
        </w:rPr>
      </w:pP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b/>
          <w:sz w:val="24"/>
          <w:szCs w:val="24"/>
        </w:rPr>
        <w:t xml:space="preserve">Перечень контрольных заданий и (или) вопросов для оценки </w:t>
      </w:r>
      <w:proofErr w:type="spellStart"/>
      <w:r w:rsidRPr="00314127">
        <w:rPr>
          <w:rFonts w:ascii="Times New Roman" w:eastAsia="Calibri" w:hAnsi="Times New Roman" w:cs="Times New Roman"/>
          <w:b/>
          <w:sz w:val="24"/>
          <w:szCs w:val="24"/>
        </w:rPr>
        <w:t>с</w:t>
      </w:r>
      <w:r w:rsidR="00B806AA">
        <w:rPr>
          <w:rFonts w:ascii="Times New Roman" w:eastAsia="Calibri" w:hAnsi="Times New Roman" w:cs="Times New Roman"/>
          <w:b/>
          <w:sz w:val="24"/>
          <w:szCs w:val="24"/>
        </w:rPr>
        <w:t>формированности</w:t>
      </w:r>
      <w:proofErr w:type="spellEnd"/>
      <w:r w:rsidR="00B806AA">
        <w:rPr>
          <w:rFonts w:ascii="Times New Roman" w:eastAsia="Calibri" w:hAnsi="Times New Roman" w:cs="Times New Roman"/>
          <w:b/>
          <w:sz w:val="24"/>
          <w:szCs w:val="24"/>
        </w:rPr>
        <w:t xml:space="preserve"> компетенции ПК-15</w:t>
      </w:r>
      <w:r w:rsidRPr="00314127">
        <w:rPr>
          <w:rFonts w:ascii="Times New Roman" w:eastAsia="Calibri" w:hAnsi="Times New Roman" w:cs="Times New Roman"/>
          <w:b/>
          <w:sz w:val="24"/>
          <w:szCs w:val="24"/>
        </w:rPr>
        <w:t xml:space="preserve"> (контролируемый индик</w:t>
      </w:r>
      <w:r w:rsidR="00B806AA">
        <w:rPr>
          <w:rFonts w:ascii="Times New Roman" w:eastAsia="Calibri" w:hAnsi="Times New Roman" w:cs="Times New Roman"/>
          <w:b/>
          <w:sz w:val="24"/>
          <w:szCs w:val="24"/>
        </w:rPr>
        <w:t>атор достижения компетенции ПК-15</w:t>
      </w:r>
      <w:r w:rsidRPr="00314127">
        <w:rPr>
          <w:rFonts w:ascii="Times New Roman" w:eastAsia="Calibri" w:hAnsi="Times New Roman" w:cs="Times New Roman"/>
          <w:b/>
          <w:sz w:val="24"/>
          <w:szCs w:val="24"/>
        </w:rPr>
        <w:t>.1)</w:t>
      </w:r>
    </w:p>
    <w:p w:rsidR="00314127" w:rsidRPr="00314127" w:rsidRDefault="00314127" w:rsidP="00EF6C6B">
      <w:pPr>
        <w:spacing w:after="0" w:line="240" w:lineRule="auto"/>
        <w:ind w:firstLine="709"/>
        <w:jc w:val="both"/>
        <w:rPr>
          <w:rFonts w:ascii="Times New Roman" w:hAnsi="Times New Roman" w:cs="Times New Roman"/>
          <w:sz w:val="24"/>
          <w:szCs w:val="24"/>
        </w:rPr>
      </w:pP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1. Что представляет собой конструкция полного товарищества? Какие особенности имеет признак организационного единства юридического лица применительно к полному товариществу?</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2.Каково правовое положение коммандитного товарищества? В чем сходство и каковы различия в конструкциях полного товарищества и коммандитного товарищества?</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3. Какие существуют структуры органов управления в обществах с ограниченной ответственностью? Каково правовое положение участников общества с ограниченной ответственностью?</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4. Что такое акционерное общество как организационно-правовая форма юридического лица? Каковы особенности структуры органов управления акционерного общества и каков порядок формирования этих органов? Какие ограничения установлены законодательством на приобретение статуса акционера отдельными лицами?</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5. Каковы особенности правового положения акционерного общества работников (народного предприятия)? Каков порядок его создания, реорганизации и ликвидации? Какова специфика правового положения участников народного предприятия?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6. Какими признаками обладают дочерние и зависимые хозяйственные общества?</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 xml:space="preserve">7. Чем производственный кооператив отличается от хозяйственных обществ и товариществ? </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8. Каковы особенности правового статуса членов производственного кооператива?</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 xml:space="preserve">9. В чем состоит сходство и каковы различия правового положения государственного (муниципального) унитарного предприятия и федерального казенного предприятия? </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10. В законодательствах каких государств полное товарищество не признается юридическим лицом и почему?</w:t>
      </w:r>
    </w:p>
    <w:p w:rsidR="00314127" w:rsidRDefault="00314127" w:rsidP="00EF6C6B">
      <w:pPr>
        <w:spacing w:after="0" w:line="240" w:lineRule="auto"/>
        <w:ind w:firstLine="709"/>
        <w:jc w:val="both"/>
        <w:rPr>
          <w:rFonts w:ascii="Times New Roman" w:hAnsi="Times New Roman" w:cs="Times New Roman"/>
          <w:sz w:val="28"/>
          <w:szCs w:val="28"/>
        </w:rPr>
      </w:pP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b/>
          <w:sz w:val="24"/>
          <w:szCs w:val="24"/>
        </w:rPr>
        <w:lastRenderedPageBreak/>
        <w:t xml:space="preserve">Перечень контрольных заданий и (или) вопросов для оценки </w:t>
      </w:r>
      <w:proofErr w:type="spellStart"/>
      <w:r w:rsidRPr="00314127">
        <w:rPr>
          <w:rFonts w:ascii="Times New Roman" w:eastAsia="Calibri" w:hAnsi="Times New Roman" w:cs="Times New Roman"/>
          <w:b/>
          <w:sz w:val="24"/>
          <w:szCs w:val="24"/>
        </w:rPr>
        <w:t>с</w:t>
      </w:r>
      <w:r w:rsidR="00B806AA">
        <w:rPr>
          <w:rFonts w:ascii="Times New Roman" w:eastAsia="Calibri" w:hAnsi="Times New Roman" w:cs="Times New Roman"/>
          <w:b/>
          <w:sz w:val="24"/>
          <w:szCs w:val="24"/>
        </w:rPr>
        <w:t>формированности</w:t>
      </w:r>
      <w:proofErr w:type="spellEnd"/>
      <w:r w:rsidR="00B806AA">
        <w:rPr>
          <w:rFonts w:ascii="Times New Roman" w:eastAsia="Calibri" w:hAnsi="Times New Roman" w:cs="Times New Roman"/>
          <w:b/>
          <w:sz w:val="24"/>
          <w:szCs w:val="24"/>
        </w:rPr>
        <w:t xml:space="preserve"> компетенции ПК-15</w:t>
      </w:r>
      <w:r w:rsidRPr="00314127">
        <w:rPr>
          <w:rFonts w:ascii="Times New Roman" w:eastAsia="Calibri" w:hAnsi="Times New Roman" w:cs="Times New Roman"/>
          <w:b/>
          <w:sz w:val="24"/>
          <w:szCs w:val="24"/>
        </w:rPr>
        <w:t xml:space="preserve"> (контролируемый индик</w:t>
      </w:r>
      <w:r w:rsidR="00B806AA">
        <w:rPr>
          <w:rFonts w:ascii="Times New Roman" w:eastAsia="Calibri" w:hAnsi="Times New Roman" w:cs="Times New Roman"/>
          <w:b/>
          <w:sz w:val="24"/>
          <w:szCs w:val="24"/>
        </w:rPr>
        <w:t>атор достижения компетенции ПК-15</w:t>
      </w:r>
      <w:r w:rsidRPr="00314127">
        <w:rPr>
          <w:rFonts w:ascii="Times New Roman" w:eastAsia="Calibri" w:hAnsi="Times New Roman" w:cs="Times New Roman"/>
          <w:b/>
          <w:sz w:val="24"/>
          <w:szCs w:val="24"/>
        </w:rPr>
        <w:t>.2)</w:t>
      </w:r>
    </w:p>
    <w:p w:rsidR="00314127" w:rsidRPr="00314127" w:rsidRDefault="00314127" w:rsidP="00314127">
      <w:pPr>
        <w:spacing w:after="0" w:line="240" w:lineRule="auto"/>
        <w:ind w:firstLine="709"/>
        <w:jc w:val="both"/>
        <w:rPr>
          <w:rFonts w:ascii="Times New Roman" w:eastAsia="Calibri" w:hAnsi="Times New Roman" w:cs="Times New Roman"/>
          <w:bCs/>
          <w:sz w:val="24"/>
          <w:szCs w:val="24"/>
        </w:rPr>
      </w:pPr>
    </w:p>
    <w:p w:rsidR="00314127" w:rsidRPr="00314127" w:rsidRDefault="00314127" w:rsidP="00314127">
      <w:pPr>
        <w:spacing w:after="0" w:line="240" w:lineRule="auto"/>
        <w:ind w:firstLine="709"/>
        <w:jc w:val="both"/>
        <w:rPr>
          <w:rFonts w:ascii="Times New Roman" w:eastAsia="Calibri" w:hAnsi="Times New Roman" w:cs="Times New Roman"/>
          <w:b/>
          <w:bCs/>
          <w:sz w:val="24"/>
          <w:szCs w:val="24"/>
        </w:rPr>
      </w:pPr>
      <w:r w:rsidRPr="00314127">
        <w:rPr>
          <w:rFonts w:ascii="Times New Roman" w:eastAsia="Calibri" w:hAnsi="Times New Roman" w:cs="Times New Roman"/>
          <w:b/>
          <w:bCs/>
          <w:sz w:val="24"/>
          <w:szCs w:val="24"/>
        </w:rPr>
        <w:t>Задача №1.</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Руководитель филиала № 1 ООО «Мираж» имел генеральную доверенность, выданную директором ООО «Мираж», дающую ему среда прочего право совершения сделок, связанных с получением кредита.</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11 февраля 2007 г. он подписал с коммерческим банком кредитный договор от имени филиала без ссылки на то, что договор заключается от имени юридического лица. В счет обеспечения исполнения обязательств заемщика по возврату полученного кредита между банком (кредитором) и торговой фирмой (поручителем) был заключен договор поручительства.</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Поскольку денежные средства не были своевременно возвращены заемщиком, банк принял решение обратиться с иском в арбитражный суд. При подготовке искового заявления юрист банка выяснил, что согласно уставу ООО «Мираж» торговая фирма (поручитель) является филиалом № 2 ООО «Мираж», а деятельность филиала № 1 ООО «Мираж» прекращена.</w:t>
      </w:r>
    </w:p>
    <w:p w:rsidR="00314127" w:rsidRPr="00314127" w:rsidRDefault="00314127" w:rsidP="00314127">
      <w:pPr>
        <w:spacing w:after="0" w:line="240" w:lineRule="auto"/>
        <w:ind w:firstLine="709"/>
        <w:jc w:val="both"/>
        <w:rPr>
          <w:rFonts w:ascii="Times New Roman" w:eastAsia="Calibri" w:hAnsi="Times New Roman" w:cs="Times New Roman"/>
          <w:bCs/>
          <w:sz w:val="24"/>
          <w:szCs w:val="24"/>
        </w:rPr>
      </w:pPr>
    </w:p>
    <w:p w:rsidR="00314127" w:rsidRPr="00314127" w:rsidRDefault="00314127" w:rsidP="00314127">
      <w:pPr>
        <w:spacing w:after="0" w:line="240" w:lineRule="auto"/>
        <w:ind w:firstLine="709"/>
        <w:jc w:val="both"/>
        <w:rPr>
          <w:rFonts w:ascii="Times New Roman" w:eastAsia="Calibri" w:hAnsi="Times New Roman" w:cs="Times New Roman"/>
          <w:b/>
          <w:bCs/>
          <w:sz w:val="24"/>
          <w:szCs w:val="24"/>
        </w:rPr>
      </w:pPr>
      <w:r w:rsidRPr="00314127">
        <w:rPr>
          <w:rFonts w:ascii="Times New Roman" w:eastAsia="Calibri" w:hAnsi="Times New Roman" w:cs="Times New Roman"/>
          <w:b/>
          <w:bCs/>
          <w:sz w:val="24"/>
          <w:szCs w:val="24"/>
        </w:rPr>
        <w:t>Задача № 2.</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ОАО «Самоцветы» предоставило все необходимые документы в региональное отделение Федеральной службы по финансовым рынкам для регистрации отчета об итогах выпуска дополнительных привилегированных акций, размещенных по закрытой подписке среди акционеров. Из представленных для регистрации документов следовало, что решение об увеличении уставного капитала общества путем выпуска дополнительных привилегированных акций было принято 2/3 голосов присутствующих на собрании акционеров, причем вопрос об увеличении уставного капитала был включен в повестку дня общего собрания акционеров советом директоров общества непосредственно перед началом проведения общего собрания. Как усматривалось из отчета об итогах выпуска дополнительных привилегированных акций, оплата этих акций производилась обыкновенными акциями ОАО «Самоцветы», находящимися в собственности акционеров.</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p>
    <w:p w:rsidR="00314127" w:rsidRPr="00314127" w:rsidRDefault="00314127" w:rsidP="00314127">
      <w:pPr>
        <w:spacing w:after="0" w:line="240" w:lineRule="auto"/>
        <w:ind w:firstLine="709"/>
        <w:jc w:val="both"/>
        <w:rPr>
          <w:rFonts w:ascii="Times New Roman" w:eastAsia="Calibri" w:hAnsi="Times New Roman" w:cs="Times New Roman"/>
          <w:b/>
          <w:bCs/>
          <w:sz w:val="24"/>
          <w:szCs w:val="24"/>
        </w:rPr>
      </w:pPr>
      <w:r w:rsidRPr="00314127">
        <w:rPr>
          <w:rFonts w:ascii="Times New Roman" w:eastAsia="Calibri" w:hAnsi="Times New Roman" w:cs="Times New Roman"/>
          <w:b/>
          <w:bCs/>
          <w:sz w:val="24"/>
          <w:szCs w:val="24"/>
        </w:rPr>
        <w:t>Задача № 3.</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Акционеры ОАО «Парис» приняли решение о преобразовании акционерного общества в народное предприятие. На основании п. 2 ст. 1 Федерального закона «Об особенностях правового положения акционерных обществ работников (народных предприятий)» в договор о создании народного предприятия и в его устав были включены сведения, указанные в п, 5 ст. 9 и п. 3 ст. 11 Федерального закона «Об акционерных обществах». В уставе акционерного общества работников (народного предприятия) было предусмотрено право размещать обыкновенные и привилегированные акции по закрытой подписке. Каждая акция предоставляла своему владельцу один голос при голосовании на общем собрании акционеров. В уставе также содержалось ограничение, согласно которому акционеры народного предприятия могли владеть акциями, составляющими не более 10% его уставного капитала. При этом указывалось, что они вправе без ограничений распоряжаться принадлежащими им акциями.</w:t>
      </w:r>
    </w:p>
    <w:p w:rsidR="00314127" w:rsidRPr="00314127" w:rsidRDefault="00314127" w:rsidP="00314127">
      <w:pPr>
        <w:spacing w:after="0" w:line="240" w:lineRule="auto"/>
        <w:ind w:firstLine="709"/>
        <w:jc w:val="both"/>
        <w:rPr>
          <w:rFonts w:ascii="Times New Roman" w:eastAsia="Calibri" w:hAnsi="Times New Roman" w:cs="Times New Roman"/>
          <w:bCs/>
          <w:sz w:val="24"/>
          <w:szCs w:val="24"/>
        </w:rPr>
      </w:pPr>
    </w:p>
    <w:p w:rsidR="00314127" w:rsidRPr="00314127" w:rsidRDefault="00314127" w:rsidP="00314127">
      <w:pPr>
        <w:spacing w:after="0" w:line="240" w:lineRule="auto"/>
        <w:ind w:firstLine="709"/>
        <w:jc w:val="both"/>
        <w:rPr>
          <w:rFonts w:ascii="Times New Roman" w:eastAsia="Calibri" w:hAnsi="Times New Roman" w:cs="Times New Roman"/>
          <w:b/>
          <w:bCs/>
          <w:sz w:val="24"/>
          <w:szCs w:val="24"/>
        </w:rPr>
      </w:pPr>
      <w:r w:rsidRPr="00314127">
        <w:rPr>
          <w:rFonts w:ascii="Times New Roman" w:eastAsia="Calibri" w:hAnsi="Times New Roman" w:cs="Times New Roman"/>
          <w:b/>
          <w:bCs/>
          <w:sz w:val="24"/>
          <w:szCs w:val="24"/>
        </w:rPr>
        <w:t>Задача № 4.</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Государственное предприятие «Форум» обратилось в арбитражный суд с иском о признании недействительным решения общего собрания участников ООО «Транс» об исключении его из состава участников общества и о преобразовании ООО «Транс» в ОАО «Транс»</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lastRenderedPageBreak/>
        <w:t>При рассмотрении спора выяснилось, что на общем собрании, которое принимало решение о преобразовании общества, из шести участников присутствовали только два, обладающие в совокупности 25% голосов. Представители государственного предприятия «Форум» не явились на общее собрание, так как не были извещены о дате и времени его проведениях</w:t>
      </w:r>
    </w:p>
    <w:p w:rsidR="00314127" w:rsidRPr="00314127" w:rsidRDefault="00314127" w:rsidP="00314127">
      <w:pPr>
        <w:spacing w:after="0" w:line="240" w:lineRule="auto"/>
        <w:ind w:firstLine="709"/>
        <w:jc w:val="both"/>
        <w:rPr>
          <w:rFonts w:ascii="Times New Roman" w:eastAsia="Calibri" w:hAnsi="Times New Roman" w:cs="Times New Roman"/>
          <w:bCs/>
          <w:sz w:val="24"/>
          <w:szCs w:val="24"/>
        </w:rPr>
      </w:pPr>
    </w:p>
    <w:p w:rsidR="00314127" w:rsidRPr="00314127" w:rsidRDefault="00314127" w:rsidP="00314127">
      <w:pPr>
        <w:spacing w:after="0" w:line="240" w:lineRule="auto"/>
        <w:ind w:firstLine="709"/>
        <w:jc w:val="both"/>
        <w:rPr>
          <w:rFonts w:ascii="Times New Roman" w:eastAsia="Calibri" w:hAnsi="Times New Roman" w:cs="Times New Roman"/>
          <w:b/>
          <w:bCs/>
          <w:sz w:val="24"/>
          <w:szCs w:val="24"/>
        </w:rPr>
      </w:pPr>
      <w:r w:rsidRPr="00314127">
        <w:rPr>
          <w:rFonts w:ascii="Times New Roman" w:eastAsia="Calibri" w:hAnsi="Times New Roman" w:cs="Times New Roman"/>
          <w:b/>
          <w:bCs/>
          <w:sz w:val="24"/>
          <w:szCs w:val="24"/>
        </w:rPr>
        <w:t>Задача № 5.</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Член жилищно-строительного кооператива «Строим дом» Иванов по решению правления был исключен из кооператива за неоднократное неисполнение обязанностей по внесению паевых и дополнительных взносов в паевой фонд кооператива. Спустя три месяца, не успев подать заявление о возврате паевого взноса, Иванов умер. Единственная наследница Иванова, его дочь Павлова обратилась к правлению ЖСК с заявлением о приеме ее в члены кооператива и предоставлении жилого помещения, которым ее отец пользовался до своей смерти. Правление ЖСК отказало Павловой в ее просьбе.</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Не согласившись с решением правления, Павлова обжаловала отказ в суде. Суд отказал Павловой в иске на том основании, что в соответствии со ст. 116 ГК РФ потребительский кооператив представляет собой добровольное объединение граждан и юридических лиц, а потому кооператив не может быть понужден принять в члены какое- либо лицо.</w:t>
      </w:r>
    </w:p>
    <w:p w:rsidR="00314127" w:rsidRDefault="00314127" w:rsidP="00EF6C6B">
      <w:pPr>
        <w:spacing w:after="0" w:line="240" w:lineRule="auto"/>
        <w:ind w:firstLine="709"/>
        <w:jc w:val="both"/>
        <w:rPr>
          <w:rFonts w:ascii="Times New Roman" w:hAnsi="Times New Roman" w:cs="Times New Roman"/>
          <w:sz w:val="28"/>
          <w:szCs w:val="28"/>
        </w:rPr>
      </w:pP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b/>
          <w:sz w:val="24"/>
          <w:szCs w:val="24"/>
        </w:rPr>
        <w:t xml:space="preserve">Перечень контрольных заданий и (или) вопросов для оценки </w:t>
      </w:r>
      <w:proofErr w:type="spellStart"/>
      <w:r w:rsidRPr="00314127">
        <w:rPr>
          <w:rFonts w:ascii="Times New Roman" w:eastAsia="Calibri" w:hAnsi="Times New Roman" w:cs="Times New Roman"/>
          <w:b/>
          <w:sz w:val="24"/>
          <w:szCs w:val="24"/>
        </w:rPr>
        <w:t>с</w:t>
      </w:r>
      <w:r w:rsidR="00B806AA">
        <w:rPr>
          <w:rFonts w:ascii="Times New Roman" w:eastAsia="Calibri" w:hAnsi="Times New Roman" w:cs="Times New Roman"/>
          <w:b/>
          <w:sz w:val="24"/>
          <w:szCs w:val="24"/>
        </w:rPr>
        <w:t>формированности</w:t>
      </w:r>
      <w:proofErr w:type="spellEnd"/>
      <w:r w:rsidR="00B806AA">
        <w:rPr>
          <w:rFonts w:ascii="Times New Roman" w:eastAsia="Calibri" w:hAnsi="Times New Roman" w:cs="Times New Roman"/>
          <w:b/>
          <w:sz w:val="24"/>
          <w:szCs w:val="24"/>
        </w:rPr>
        <w:t xml:space="preserve"> компетенции ПК-15</w:t>
      </w:r>
      <w:r w:rsidRPr="00314127">
        <w:rPr>
          <w:rFonts w:ascii="Times New Roman" w:eastAsia="Calibri" w:hAnsi="Times New Roman" w:cs="Times New Roman"/>
          <w:b/>
          <w:sz w:val="24"/>
          <w:szCs w:val="24"/>
        </w:rPr>
        <w:t xml:space="preserve"> (контролируемый индик</w:t>
      </w:r>
      <w:r w:rsidR="00B806AA">
        <w:rPr>
          <w:rFonts w:ascii="Times New Roman" w:eastAsia="Calibri" w:hAnsi="Times New Roman" w:cs="Times New Roman"/>
          <w:b/>
          <w:sz w:val="24"/>
          <w:szCs w:val="24"/>
        </w:rPr>
        <w:t>атор достижения компетенции ПК-15</w:t>
      </w:r>
      <w:r w:rsidRPr="00314127">
        <w:rPr>
          <w:rFonts w:ascii="Times New Roman" w:eastAsia="Calibri" w:hAnsi="Times New Roman" w:cs="Times New Roman"/>
          <w:b/>
          <w:sz w:val="24"/>
          <w:szCs w:val="24"/>
        </w:rPr>
        <w:t>.3)</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1. Объектом контрольно-надзорной проверки являются: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а) действия (бездействия) юридических лиц и индивидуальных предпринимателей, в которых имеются признаки нарушения обязательных требований;</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б) последствия, причиненные нарушением обязательных требований;</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в) действия (бездействия) юридических лиц и индивидуальных предпринимателей, в которых имеются признаки административного правонарушения;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г) вред, причиненный административным правонарушением;</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д) подготавливаемое административное правонарушение;</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е) правомерная деятельность юридических лиц и индивидуальных предпринимателей, регулируемая обязательными требованиями.</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2. Риск-ориентированный подход в сфере государственного контроля и надзора применятся в целях:</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а) предупреждения административных правонарушений;</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б) предупреждения, выявления и пресечения нарушений обязательных требований;</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в) оптимального использования трудовых, материальных и финансовых ресурсов, задействованных при осуществлении государственного контроля (надзора);</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г) снижения издержек проверяемых юридических лиц и индивидуальных предпринимателей;</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д) повышения результативности государственного контроля (надзора).</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3. Риск-ориентированный подход при осуществления государственного контроля (надзора) позволяет:</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а) выбрать интенсивность (формы, продолжительности, периодичности) проведения мероприятий по контролю;</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б) выбрать интенсивность мероприятий по профилактике нарушения обязательных требований;</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в) освободить от административной ответственности проверяемое лицо;</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г) смягчить административную ответственность проверяемого лица.</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lastRenderedPageBreak/>
        <w:t>4. При отнесении деятельности юридического лица, индивидуального предпринимателя и (или) используемых ими при осуществлении такой деятельности производственных объектов к определенному классу (категории) опасности учитывается: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а) тяжесть потенциальных негативных последствий возможного несоблюдения юридическими лицами, индивидуальными предпринимателями обязательных требований;</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б) вероятность несоблюдения соответствующих обязательных требований;</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в) административные наказания, предусмотренные за несоблюдение обязательных требований.</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5.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определяются: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а) Правительством РФ, если такие критерии не установлены федеральным законом;</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б) федеральными органами исполнительной власти, осуществляющими функции по выработке государственной политики и нормативно-правовому регулированию в соответствующей сфере деятельности:</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в) компетентными федеральными органами государственного контроля (надзора);</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г) высшим должностным лицом субъекта РФ;</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д) положениями о видах государственного контроля (надзора), утверждаемыми компетентными федеральными органами исполнительной власти с учетом правил, установленных Правительством РФ.</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6. Перечень категорий риска или классов опасности, применяемый при осуществлении отдельного вида государственного контроля (надзора), устанавливается: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а) федеральным законом, регламентирующим порядок осуществления отдельного вида государственного контроля (надзора);</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б) положением об органе государственного контроля (надзора);</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в) положением о виде государственного контроля (надзора);</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г) административным регламентом органа государственного контроля (надзора).</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 xml:space="preserve">7. Критерии отнесения объектов государственного </w:t>
      </w:r>
      <w:proofErr w:type="spellStart"/>
      <w:r w:rsidRPr="00314127">
        <w:rPr>
          <w:rFonts w:ascii="Times New Roman" w:eastAsia="Calibri" w:hAnsi="Times New Roman" w:cs="Times New Roman"/>
          <w:sz w:val="24"/>
          <w:szCs w:val="24"/>
        </w:rPr>
        <w:t>контролен</w:t>
      </w:r>
      <w:proofErr w:type="spellEnd"/>
      <w:r w:rsidRPr="00314127">
        <w:rPr>
          <w:rFonts w:ascii="Times New Roman" w:eastAsia="Calibri" w:hAnsi="Times New Roman" w:cs="Times New Roman"/>
          <w:sz w:val="24"/>
          <w:szCs w:val="24"/>
        </w:rPr>
        <w:t xml:space="preserve"> (надзора) к категориям риска должны учитывать:</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а) тяжесть потенциальных негативных последствий возможного несоблюдения юридическими лицами и индивидуальными предпринимателями обязательных требований;</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б) вероятность несоблюдения юридическими лицами и индивидуальными предпринимателями обязательных требований;</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в) устранение причин и условий, способствовавших совершению нарушения обязательных требований;</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г) устранение причин и условий, способствовавших совершению административных правонарушений, выявляемых в ходе осуществления государственного контроля и надзора.</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8. Перечень категорий риска или классов опасности, применяемый при осуществлении отдельного вида государственного контроля (надзора), включает:</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а) от 1 до 6 категорий риска, из числа категорий риска и классов, предусмотренных Постановлением Правительства РФ от 17 августа 2016 г. №806;</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б) от 3 до 6 категорий риска, предусмотренных Постановлением Правительства РФ от 17 августа 2016 г. № 806;</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в) от 3 до 6 классов опасности, предусмотренных Постановлением Правительства РФ от 17 августа 2016 г. №806;</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г) от 1 до 6 классов опасности, предусмотренных Постановлением Правительства РФ от 17 августа 2016 г. №806.</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9. К законодательству об административных правонарушениях относятся: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а) Правила отбывания административного ареста, утвержденные Правительством РФ;</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б) Правила дорожного движения, утвержденные Правительством РФ;</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в) Федеральный закон «О безопасности дорожного движения»;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lastRenderedPageBreak/>
        <w:t>г) Правила пользования маршрутными такси, утвержденные Городской думой;</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д) КоАП РФ и принимаемые в соответствии с ним законы субъектов РФ об административных правонарушениях.</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 xml:space="preserve">10. К административным наказаниям, которые учитываются при осуществлении государственного контроля и надзора в условиях </w:t>
      </w:r>
      <w:proofErr w:type="spellStart"/>
      <w:r w:rsidRPr="00314127">
        <w:rPr>
          <w:rFonts w:ascii="Times New Roman" w:eastAsia="Calibri" w:hAnsi="Times New Roman" w:cs="Times New Roman"/>
          <w:sz w:val="24"/>
          <w:szCs w:val="24"/>
        </w:rPr>
        <w:t>рискориентиро</w:t>
      </w:r>
      <w:proofErr w:type="spellEnd"/>
      <w:r w:rsidRPr="00314127">
        <w:rPr>
          <w:rFonts w:ascii="Times New Roman" w:eastAsia="Calibri" w:hAnsi="Times New Roman" w:cs="Times New Roman"/>
          <w:sz w:val="24"/>
          <w:szCs w:val="24"/>
        </w:rPr>
        <w:t>-ванного подхода, относятся: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а) приостановление действия лицензии;</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б) аннулирование лицензии;</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в) лишение специального права, предоставленного физическому лицу;</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г) депортация иностранного гражданина или лица без гражданства;</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д) административный штраф;</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е) предупреждение.</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11. Дело об административном правонарушении, выявленном в ходе осуществления государственного контроля и надзора, считается возбужденным с момента:</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а) обнаружения признаков административного правонарушения;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б) составления протокола осмотра места совершения административного правонарушения;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в) составления первого протокола о применении мер обеспечения производства по делу об административном правонарушении;</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г) составления протокола об административном правонарушении;</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д) вынесения определения о возбуждении дела об административном правонарушении при необходимости проведения административного расследования;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е) вынесения постановления по делу об административном правонарушении в случае, если протокол об административном правонарушении не составляется;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ж) вынесения постановления по делу об административном правонарушении, зафиксированного с применением работающих в автоматическом режиме специальных технических средств;</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з) вынесения постановления прокурора о возбуждении дела об административном правонарушении;</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и) окончания административного расследования или проверки по делу об административном правонарушении.</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12. Полномочиями по составлению протоколов об административном правонарушении, предусмотренном КоАП и выявляемым в ходе осуществления государственного контроля и надзора, наделяются: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а) должностные лица компетентных федеральных органов исполнительной власти;</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б) должностные лица органов прокуратуры;</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в) должностные лица компетентных органов исполнительной власти субъектов РФ;</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г) должностные лица компетентных органов местного самоуправления;</w:t>
      </w: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д) должностные лица административных комиссий и комиссий по делам несовершеннолетних и защиты их прав.</w:t>
      </w:r>
    </w:p>
    <w:p w:rsidR="00314127" w:rsidRDefault="00314127" w:rsidP="00EF6C6B">
      <w:pPr>
        <w:spacing w:after="0" w:line="240" w:lineRule="auto"/>
        <w:ind w:firstLine="709"/>
        <w:jc w:val="both"/>
        <w:rPr>
          <w:rFonts w:ascii="Times New Roman" w:hAnsi="Times New Roman" w:cs="Times New Roman"/>
          <w:sz w:val="28"/>
          <w:szCs w:val="28"/>
        </w:rPr>
      </w:pPr>
    </w:p>
    <w:p w:rsidR="00314127" w:rsidRPr="00314127" w:rsidRDefault="00314127" w:rsidP="00314127">
      <w:pPr>
        <w:spacing w:after="0" w:line="240" w:lineRule="auto"/>
        <w:ind w:firstLine="709"/>
        <w:jc w:val="both"/>
        <w:rPr>
          <w:rFonts w:ascii="Times New Roman" w:eastAsia="Calibri" w:hAnsi="Times New Roman" w:cs="Times New Roman"/>
          <w:b/>
          <w:sz w:val="28"/>
          <w:szCs w:val="28"/>
        </w:rPr>
      </w:pPr>
      <w:r w:rsidRPr="00314127">
        <w:rPr>
          <w:rFonts w:ascii="Times New Roman" w:eastAsia="Calibri" w:hAnsi="Times New Roman" w:cs="Times New Roman"/>
          <w:b/>
          <w:sz w:val="28"/>
          <w:szCs w:val="28"/>
        </w:rPr>
        <w:t>4. Оценочные средства (оценочные материалы) для проведения промежуточной аттестации обучающихся (защиты курсовой работы (проекта)) по дисциплине (модулю)</w:t>
      </w:r>
    </w:p>
    <w:p w:rsidR="00314127" w:rsidRPr="00314127" w:rsidRDefault="00314127" w:rsidP="00314127">
      <w:pPr>
        <w:spacing w:after="0" w:line="240" w:lineRule="auto"/>
        <w:ind w:firstLine="709"/>
        <w:jc w:val="both"/>
        <w:rPr>
          <w:rFonts w:ascii="Times New Roman" w:eastAsia="Calibri" w:hAnsi="Times New Roman" w:cs="Times New Roman"/>
          <w:sz w:val="28"/>
          <w:szCs w:val="28"/>
        </w:rPr>
      </w:pPr>
    </w:p>
    <w:p w:rsidR="00314127" w:rsidRPr="00314127" w:rsidRDefault="00314127" w:rsidP="00314127">
      <w:pPr>
        <w:spacing w:after="0" w:line="240" w:lineRule="auto"/>
        <w:ind w:firstLine="709"/>
        <w:jc w:val="both"/>
        <w:rPr>
          <w:rFonts w:ascii="Times New Roman" w:eastAsia="Calibri" w:hAnsi="Times New Roman" w:cs="Times New Roman"/>
          <w:sz w:val="24"/>
          <w:szCs w:val="24"/>
        </w:rPr>
      </w:pPr>
      <w:r w:rsidRPr="00314127">
        <w:rPr>
          <w:rFonts w:ascii="Times New Roman" w:eastAsia="Calibri" w:hAnsi="Times New Roman" w:cs="Times New Roman"/>
          <w:sz w:val="24"/>
          <w:szCs w:val="24"/>
        </w:rPr>
        <w:t>Выполнение курсовой работы (проекта) по дисциплине (модулю) не предусмотрено основной профессиональной образовательной программой.</w:t>
      </w:r>
    </w:p>
    <w:sectPr w:rsidR="00314127" w:rsidRPr="00314127" w:rsidSect="00EF6C6B">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1C7D" w:rsidRDefault="00B71C7D" w:rsidP="00EF6C6B">
      <w:pPr>
        <w:spacing w:after="0" w:line="240" w:lineRule="auto"/>
      </w:pPr>
      <w:r>
        <w:separator/>
      </w:r>
    </w:p>
  </w:endnote>
  <w:endnote w:type="continuationSeparator" w:id="0">
    <w:p w:rsidR="00B71C7D" w:rsidRDefault="00B71C7D" w:rsidP="00EF6C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6398266"/>
      <w:docPartObj>
        <w:docPartGallery w:val="Page Numbers (Bottom of Page)"/>
        <w:docPartUnique/>
      </w:docPartObj>
    </w:sdtPr>
    <w:sdtEndPr/>
    <w:sdtContent>
      <w:p w:rsidR="00EF6C6B" w:rsidRDefault="00EF6C6B">
        <w:pPr>
          <w:pStyle w:val="a5"/>
          <w:jc w:val="center"/>
        </w:pPr>
        <w:r w:rsidRPr="00EF6C6B">
          <w:rPr>
            <w:rFonts w:ascii="Times New Roman" w:hAnsi="Times New Roman" w:cs="Times New Roman"/>
          </w:rPr>
          <w:fldChar w:fldCharType="begin"/>
        </w:r>
        <w:r w:rsidRPr="00EF6C6B">
          <w:rPr>
            <w:rFonts w:ascii="Times New Roman" w:hAnsi="Times New Roman" w:cs="Times New Roman"/>
          </w:rPr>
          <w:instrText xml:space="preserve"> PAGE   \* MERGEFORMAT </w:instrText>
        </w:r>
        <w:r w:rsidRPr="00EF6C6B">
          <w:rPr>
            <w:rFonts w:ascii="Times New Roman" w:hAnsi="Times New Roman" w:cs="Times New Roman"/>
          </w:rPr>
          <w:fldChar w:fldCharType="separate"/>
        </w:r>
        <w:r w:rsidR="007A1B4D">
          <w:rPr>
            <w:rFonts w:ascii="Times New Roman" w:hAnsi="Times New Roman" w:cs="Times New Roman"/>
            <w:noProof/>
          </w:rPr>
          <w:t>12</w:t>
        </w:r>
        <w:r w:rsidRPr="00EF6C6B">
          <w:rPr>
            <w:rFonts w:ascii="Times New Roman" w:hAnsi="Times New Roman" w:cs="Times New Roman"/>
          </w:rPr>
          <w:fldChar w:fldCharType="end"/>
        </w:r>
      </w:p>
    </w:sdtContent>
  </w:sdt>
  <w:p w:rsidR="00EF6C6B" w:rsidRDefault="00EF6C6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1C7D" w:rsidRDefault="00B71C7D" w:rsidP="00EF6C6B">
      <w:pPr>
        <w:spacing w:after="0" w:line="240" w:lineRule="auto"/>
      </w:pPr>
      <w:r>
        <w:separator/>
      </w:r>
    </w:p>
  </w:footnote>
  <w:footnote w:type="continuationSeparator" w:id="0">
    <w:p w:rsidR="00B71C7D" w:rsidRDefault="00B71C7D" w:rsidP="00EF6C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C6B"/>
    <w:rsid w:val="000529AA"/>
    <w:rsid w:val="00250638"/>
    <w:rsid w:val="00290FA7"/>
    <w:rsid w:val="002B7E1E"/>
    <w:rsid w:val="00314127"/>
    <w:rsid w:val="00470287"/>
    <w:rsid w:val="004A7CF7"/>
    <w:rsid w:val="00782369"/>
    <w:rsid w:val="007A1B4D"/>
    <w:rsid w:val="008910DC"/>
    <w:rsid w:val="00956F08"/>
    <w:rsid w:val="00A1755A"/>
    <w:rsid w:val="00A236E1"/>
    <w:rsid w:val="00B5685E"/>
    <w:rsid w:val="00B71C7D"/>
    <w:rsid w:val="00B73F2E"/>
    <w:rsid w:val="00B806AA"/>
    <w:rsid w:val="00DE5F1C"/>
    <w:rsid w:val="00E2790F"/>
    <w:rsid w:val="00EF6C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9748F9-A546-49BB-9A9D-0D77465D4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6C6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F6C6B"/>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EF6C6B"/>
  </w:style>
  <w:style w:type="paragraph" w:styleId="a5">
    <w:name w:val="footer"/>
    <w:basedOn w:val="a"/>
    <w:link w:val="a6"/>
    <w:uiPriority w:val="99"/>
    <w:unhideWhenUsed/>
    <w:rsid w:val="00EF6C6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F6C6B"/>
  </w:style>
  <w:style w:type="paragraph" w:styleId="a7">
    <w:name w:val="Balloon Text"/>
    <w:basedOn w:val="a"/>
    <w:link w:val="a8"/>
    <w:uiPriority w:val="99"/>
    <w:semiHidden/>
    <w:unhideWhenUsed/>
    <w:rsid w:val="00EF6C6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F6C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5275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4328</Words>
  <Characters>24671</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2023-07-19T20:21:00Z</dcterms:created>
  <dcterms:modified xsi:type="dcterms:W3CDTF">2023-09-20T19:23:00Z</dcterms:modified>
</cp:coreProperties>
</file>