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AB" w:rsidRDefault="00EF0EB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2929AB" w:rsidRDefault="00EF0EB0">
      <w:pPr>
        <w:ind w:right="-200"/>
        <w:jc w:val="both"/>
        <w:sectPr w:rsidR="002929AB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27.3pt;width:613.2pt;height:846.25pt;z-index:-251657216;mso-position-horizontal-relative:page;mso-position-vertical-relative:page" wrapcoords="-26 0 -26 21581 21600 21581 21600 0 -26 0" o:allowincell="f">
            <v:imagedata r:id="rId6" o:title=""/>
            <w10:wrap type="through" anchorx="page" anchory="page"/>
            <w10:anchorlock/>
          </v:shape>
        </w:pict>
      </w:r>
    </w:p>
    <w:p w:rsidR="00847FB7" w:rsidRPr="009F4EBD" w:rsidRDefault="00EF0EB0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bookmarkStart w:id="0" w:name="_GoBack"/>
      <w:bookmarkEnd w:id="0"/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  <w:r w:rsidRPr="0062243E">
        <w:rPr>
          <w:color w:val="000000"/>
          <w:lang w:val="ru-RU" w:eastAsia="ru-RU"/>
        </w:rPr>
        <w:t>задачи, объекты и методы исследования. Вскрытие. Признаки смерти и посмертные изменения.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</w:t>
      </w:r>
      <w:r>
        <w:rPr>
          <w:color w:val="000000"/>
          <w:lang w:val="ru-RU" w:eastAsia="ru-RU"/>
        </w:rPr>
        <w:t>роблема части и целого, местного и общего в патологии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EF0EB0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EF0EB0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</w:t>
      </w:r>
      <w:r w:rsidRPr="00347283">
        <w:rPr>
          <w:b/>
          <w:color w:val="000000"/>
          <w:lang w:val="ru-RU" w:eastAsia="ru-RU"/>
        </w:rPr>
        <w:t xml:space="preserve">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 этапами развития дисциплины.</w:t>
      </w:r>
    </w:p>
    <w:p w:rsidR="00847FB7" w:rsidRPr="00347283" w:rsidRDefault="00EF0EB0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 w:rsidRPr="0062243E">
        <w:rPr>
          <w:color w:val="000000"/>
          <w:lang w:val="ru-RU" w:eastAsia="ru-RU"/>
        </w:rPr>
        <w:t>Уметь объяснить задачи патологической анатомии;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EF0EB0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EF0EB0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EF0EB0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EF0EB0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</w:t>
      </w:r>
      <w:r w:rsidRPr="0062243E">
        <w:rPr>
          <w:color w:val="000000"/>
          <w:lang w:val="ru-RU" w:eastAsia="ru-RU"/>
        </w:rPr>
        <w:t xml:space="preserve">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EF0EB0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EF0EB0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</w:t>
      </w:r>
      <w:r>
        <w:rPr>
          <w:color w:val="000000"/>
          <w:lang w:val="ru-RU" w:eastAsia="ru-RU"/>
        </w:rPr>
        <w:t>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</w:t>
      </w:r>
      <w:r w:rsidRPr="0062243E">
        <w:rPr>
          <w:color w:val="000000"/>
          <w:lang w:val="ru-RU" w:eastAsia="ru-RU"/>
        </w:rPr>
        <w:t>новения.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</w:t>
      </w:r>
      <w:r w:rsidRPr="0062243E">
        <w:rPr>
          <w:color w:val="000000"/>
          <w:lang w:val="ru-RU" w:eastAsia="ru-RU"/>
        </w:rPr>
        <w:t>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болезней, т.е. общей патологии человека. Клиническое, прикладное, значение</w:t>
      </w:r>
      <w:r w:rsidRPr="0062243E">
        <w:rPr>
          <w:color w:val="000000"/>
          <w:lang w:val="ru-RU" w:eastAsia="ru-RU"/>
        </w:rPr>
        <w:t xml:space="preserve">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посвящен курс частной патологической анатомии.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</w:t>
      </w:r>
      <w:r w:rsidRPr="0062243E">
        <w:rPr>
          <w:color w:val="000000"/>
          <w:lang w:val="ru-RU" w:eastAsia="ru-RU"/>
        </w:rPr>
        <w:t xml:space="preserve">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структурных основ синдромов и болезней проводится в тесной связи с их клини</w:t>
      </w:r>
      <w:r w:rsidRPr="0062243E">
        <w:rPr>
          <w:color w:val="000000"/>
          <w:lang w:val="ru-RU" w:eastAsia="ru-RU"/>
        </w:rPr>
        <w:t xml:space="preserve">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болезни, которую следует рассматривать как нарушение нормальных жизненных функций организма, как одну из форм жизни, структурные </w:t>
      </w:r>
      <w:r w:rsidRPr="0062243E">
        <w:rPr>
          <w:color w:val="000000"/>
          <w:lang w:val="ru-RU" w:eastAsia="ru-RU"/>
        </w:rPr>
        <w:t xml:space="preserve">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Функциональных изменений, не обусловленных соответствующими структурными изменениями, не существует. Поэтому изучение патологической анатомии основано на принципе единства и сопряжения структуры и функции.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</w:t>
      </w:r>
      <w:r w:rsidRPr="0062243E">
        <w:rPr>
          <w:color w:val="000000"/>
          <w:lang w:val="ru-RU" w:eastAsia="ru-RU"/>
        </w:rPr>
        <w:t xml:space="preserve">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 xml:space="preserve">ханизмов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</w:t>
      </w:r>
      <w:r w:rsidRPr="0062243E">
        <w:rPr>
          <w:color w:val="000000"/>
          <w:lang w:val="ru-RU" w:eastAsia="ru-RU"/>
        </w:rPr>
        <w:t>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</w:t>
      </w:r>
      <w:r w:rsidRPr="0062243E">
        <w:rPr>
          <w:color w:val="000000"/>
          <w:lang w:val="ru-RU" w:eastAsia="ru-RU"/>
        </w:rPr>
        <w:t>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летальности, связанные с изменениями условий жизни человека, т.е. измен</w:t>
      </w:r>
      <w:r w:rsidRPr="0062243E">
        <w:rPr>
          <w:color w:val="000000"/>
          <w:lang w:val="ru-RU" w:eastAsia="ru-RU"/>
        </w:rPr>
        <w:t>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 xml:space="preserve">), возникающие обычно в связи с применением медикаментозных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</w:t>
      </w:r>
      <w:r w:rsidRPr="00347283">
        <w:rPr>
          <w:b/>
          <w:i/>
          <w:color w:val="000000"/>
          <w:lang w:val="ru-RU" w:eastAsia="ru-RU"/>
        </w:rPr>
        <w:t xml:space="preserve">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>опсий и в эксперименте.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заболеваний. Органы и ткани, взятые на аутопсии, изучают с помощью макроскопических</w:t>
      </w:r>
      <w:r w:rsidRPr="0062243E">
        <w:rPr>
          <w:color w:val="000000"/>
          <w:lang w:val="ru-RU" w:eastAsia="ru-RU"/>
        </w:rPr>
        <w:t xml:space="preserve">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диагностическая ошибка, устанавливаются причины смерти больного, особенности течен</w:t>
      </w:r>
      <w:r w:rsidRPr="0062243E">
        <w:rPr>
          <w:color w:val="000000"/>
          <w:lang w:val="ru-RU" w:eastAsia="ru-RU"/>
        </w:rPr>
        <w:t>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(удаленные органы и ткани) позволяет патологоанатому изучать морфологию болез</w:t>
      </w:r>
      <w:r w:rsidRPr="0062243E">
        <w:rPr>
          <w:color w:val="000000"/>
          <w:lang w:val="ru-RU" w:eastAsia="ru-RU"/>
        </w:rPr>
        <w:t>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полученный с помощью биопсии, носит название биоптата.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</w:t>
      </w:r>
      <w:r w:rsidRPr="0062243E">
        <w:rPr>
          <w:color w:val="000000"/>
          <w:lang w:val="ru-RU" w:eastAsia="ru-RU"/>
        </w:rPr>
        <w:t>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>дель болезни человека, модели многих заболеваний человека созданы и создаются, они помогают глубже понять патогенез и морфогенез болезней. На моделях забол</w:t>
      </w:r>
      <w:r w:rsidRPr="0062243E">
        <w:rPr>
          <w:color w:val="000000"/>
          <w:lang w:val="ru-RU" w:eastAsia="ru-RU"/>
        </w:rPr>
        <w:t>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</w:t>
      </w:r>
      <w:r w:rsidRPr="0062243E">
        <w:rPr>
          <w:color w:val="000000"/>
          <w:lang w:val="ru-RU" w:eastAsia="ru-RU"/>
        </w:rPr>
        <w:t>ом, клеточном, субклеточном и молекулярном уровнях.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систем.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Системный уровень – это уровень изучения какой-либо системы органо</w:t>
      </w:r>
      <w:r w:rsidRPr="0062243E">
        <w:rPr>
          <w:color w:val="000000"/>
          <w:lang w:val="ru-RU" w:eastAsia="ru-RU"/>
        </w:rPr>
        <w:t xml:space="preserve">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органов, которые в одних случаях бывают хорошо видимыми невооруженным глазом,</w:t>
      </w:r>
      <w:r w:rsidRPr="0062243E">
        <w:rPr>
          <w:color w:val="000000"/>
          <w:lang w:val="ru-RU" w:eastAsia="ru-RU"/>
        </w:rPr>
        <w:t xml:space="preserve"> в других случаях для их обнаружения необходимо прибегать к микроскопическому исследованию.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>ного 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</w:t>
      </w:r>
      <w:r w:rsidRPr="0062243E">
        <w:rPr>
          <w:color w:val="000000"/>
          <w:lang w:val="ru-RU" w:eastAsia="ru-RU"/>
        </w:rPr>
        <w:t>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болезни.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 xml:space="preserve">вании </w:t>
      </w:r>
      <w:r w:rsidRPr="0062243E">
        <w:rPr>
          <w:color w:val="000000"/>
          <w:lang w:val="ru-RU" w:eastAsia="ru-RU"/>
        </w:rPr>
        <w:t>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EF0EB0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 сердечно сосуд</w:t>
      </w:r>
      <w:r w:rsidRPr="0062243E">
        <w:rPr>
          <w:color w:val="000000"/>
          <w:lang w:val="ru-RU" w:eastAsia="ru-RU"/>
        </w:rPr>
        <w:t>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</w:t>
      </w:r>
      <w:r w:rsidRPr="0062243E">
        <w:rPr>
          <w:color w:val="000000"/>
          <w:lang w:val="ru-RU" w:eastAsia="ru-RU"/>
        </w:rPr>
        <w:t>ческого анализа.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EF0EB0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</w:t>
      </w:r>
      <w:r w:rsidRPr="0062243E">
        <w:rPr>
          <w:color w:val="000000"/>
          <w:lang w:val="ru-RU" w:eastAsia="ru-RU"/>
        </w:rPr>
        <w:t>дать определение некроза, объяснить его сущность;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Необходимый исходн</w:t>
      </w:r>
      <w:r w:rsidRPr="007571C7">
        <w:rPr>
          <w:b/>
          <w:color w:val="000000"/>
          <w:lang w:val="ru-RU" w:eastAsia="ru-RU"/>
        </w:rPr>
        <w:t>ый уровень 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EF0EB0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Определение некроз</w:t>
      </w:r>
      <w:r w:rsidRPr="0062243E">
        <w:rPr>
          <w:color w:val="000000"/>
          <w:lang w:val="ru-RU" w:eastAsia="ru-RU"/>
        </w:rPr>
        <w:t>а;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Функциональное з</w:t>
      </w:r>
      <w:r w:rsidRPr="0062243E">
        <w:rPr>
          <w:color w:val="000000"/>
          <w:lang w:val="ru-RU" w:eastAsia="ru-RU"/>
        </w:rPr>
        <w:t>начение и исходы различных форм некроза;</w:t>
      </w:r>
    </w:p>
    <w:p w:rsidR="00847FB7" w:rsidRPr="0062243E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</w:t>
      </w:r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– 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</w:t>
      </w:r>
      <w:proofErr w:type="gramEnd"/>
      <w:r w:rsidRPr="0062243E">
        <w:rPr>
          <w:color w:val="000000"/>
          <w:lang w:val="ru-RU" w:eastAsia="ru-RU"/>
        </w:rPr>
        <w:t xml:space="preserve"> мерт</w:t>
      </w:r>
      <w:r w:rsidRPr="0062243E">
        <w:rPr>
          <w:color w:val="000000"/>
          <w:lang w:val="ru-RU" w:eastAsia="ru-RU"/>
        </w:rPr>
        <w:t>вой ткани.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прекращение</w:t>
      </w:r>
      <w:r w:rsidRPr="0062243E">
        <w:rPr>
          <w:color w:val="000000"/>
          <w:lang w:val="ru-RU" w:eastAsia="ru-RU"/>
        </w:rPr>
        <w:t>м их жизнедеятельности.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</w:t>
      </w:r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EF0EB0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EF0EB0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нефрона не содерж</w:t>
      </w:r>
      <w:r w:rsidRPr="0062243E">
        <w:rPr>
          <w:color w:val="000000"/>
          <w:lang w:val="ru-RU" w:eastAsia="ru-RU"/>
        </w:rPr>
        <w:t>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формы ядра клето</w:t>
      </w:r>
      <w:r w:rsidRPr="0062243E">
        <w:rPr>
          <w:color w:val="000000"/>
          <w:lang w:val="ru-RU" w:eastAsia="ru-RU"/>
        </w:rPr>
        <w:t xml:space="preserve">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Гангрена мышцы </w:t>
      </w:r>
      <w:r w:rsidRPr="0062243E">
        <w:rPr>
          <w:color w:val="000000"/>
          <w:lang w:val="ru-RU" w:eastAsia="ru-RU"/>
        </w:rPr>
        <w:t>(окраска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дистро</w:t>
      </w:r>
      <w:r w:rsidRPr="0062243E">
        <w:rPr>
          <w:color w:val="000000"/>
          <w:lang w:val="ru-RU" w:eastAsia="ru-RU"/>
        </w:rPr>
        <w:t>фическими изменениями.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го</w:t>
      </w:r>
      <w:proofErr w:type="spellEnd"/>
      <w:r w:rsidRPr="0062243E">
        <w:rPr>
          <w:color w:val="000000"/>
          <w:lang w:val="ru-RU" w:eastAsia="ru-RU"/>
        </w:rPr>
        <w:t xml:space="preserve">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железо, </w:t>
      </w:r>
      <w:proofErr w:type="spellStart"/>
      <w:r w:rsidRPr="0062243E">
        <w:rPr>
          <w:color w:val="000000"/>
          <w:lang w:val="ru-RU" w:eastAsia="ru-RU"/>
        </w:rPr>
        <w:t>образовав</w:t>
      </w:r>
      <w:r w:rsidRPr="0062243E">
        <w:rPr>
          <w:color w:val="000000"/>
          <w:lang w:val="ru-RU" w:eastAsia="ru-RU"/>
        </w:rPr>
        <w:t>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 xml:space="preserve">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2. </w:t>
      </w:r>
      <w:proofErr w:type="spellStart"/>
      <w:r w:rsidRPr="0062243E">
        <w:rPr>
          <w:color w:val="000000"/>
          <w:lang w:val="ru-RU" w:eastAsia="ru-RU"/>
        </w:rPr>
        <w:t>Апоптозно</w:t>
      </w:r>
      <w:r w:rsidRPr="0062243E">
        <w:rPr>
          <w:color w:val="000000"/>
          <w:lang w:val="ru-RU" w:eastAsia="ru-RU"/>
        </w:rPr>
        <w:t>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 xml:space="preserve">вается в тканях, богатых белком, при слабовыраженной активности гидролитических ферментов. Некротические </w:t>
      </w:r>
      <w:r w:rsidRPr="0062243E">
        <w:rPr>
          <w:color w:val="000000"/>
          <w:lang w:val="ru-RU" w:eastAsia="ru-RU"/>
        </w:rPr>
        <w:t>массы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ткани головного и спинного мозга, котор</w:t>
      </w:r>
      <w:r w:rsidRPr="0062243E">
        <w:rPr>
          <w:color w:val="000000"/>
          <w:lang w:val="ru-RU" w:eastAsia="ru-RU"/>
        </w:rPr>
        <w:t>ые богаты водой.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</w:t>
      </w:r>
      <w:r>
        <w:rPr>
          <w:color w:val="000000"/>
          <w:lang w:val="ru-RU" w:eastAsia="ru-RU"/>
        </w:rPr>
        <w:t>ое га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</w:t>
      </w:r>
      <w:r>
        <w:rPr>
          <w:b/>
          <w:color w:val="000000"/>
          <w:lang w:val="ru-RU" w:eastAsia="ru-RU"/>
        </w:rPr>
        <w:t>БЩЕПАТОЛОГИЧЕСКИХ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 xml:space="preserve">роз, </w:t>
      </w:r>
      <w:r w:rsidRPr="0062243E">
        <w:rPr>
          <w:color w:val="000000"/>
          <w:lang w:val="ru-RU" w:eastAsia="ru-RU"/>
        </w:rPr>
        <w:t>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EF0EB0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</w:t>
      </w:r>
      <w:r w:rsidRPr="0062243E">
        <w:rPr>
          <w:color w:val="000000"/>
          <w:lang w:val="ru-RU" w:eastAsia="ru-RU"/>
        </w:rPr>
        <w:t>ь 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 xml:space="preserve">развития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EF0EB0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</w:t>
      </w:r>
      <w:r w:rsidRPr="0062243E">
        <w:rPr>
          <w:color w:val="000000"/>
          <w:lang w:val="ru-RU" w:eastAsia="ru-RU"/>
        </w:rPr>
        <w:t xml:space="preserve">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определение, причины и механизмы развития.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EF0EB0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</w:t>
      </w:r>
      <w:r w:rsidRPr="0062243E">
        <w:rPr>
          <w:color w:val="000000"/>
          <w:lang w:val="ru-RU" w:eastAsia="ru-RU"/>
        </w:rPr>
        <w:t>шение обмена гликогена.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</w:t>
      </w:r>
      <w:r w:rsidRPr="0062243E">
        <w:rPr>
          <w:color w:val="000000"/>
          <w:lang w:val="ru-RU" w:eastAsia="ru-RU"/>
        </w:rPr>
        <w:t>химатозной клетки или белково-полисахаридных комплексов соединительной ткани.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>дание) – первичный, возника</w:t>
      </w:r>
      <w:r w:rsidRPr="0062243E">
        <w:rPr>
          <w:color w:val="000000"/>
          <w:lang w:val="ru-RU" w:eastAsia="ru-RU"/>
        </w:rPr>
        <w:t>ющий без видимой причины.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</w:t>
      </w:r>
      <w:r w:rsidRPr="0062243E">
        <w:rPr>
          <w:color w:val="000000"/>
          <w:lang w:val="ru-RU" w:eastAsia="ru-RU"/>
        </w:rPr>
        <w:t xml:space="preserve"> синдром, </w:t>
      </w:r>
      <w:proofErr w:type="spellStart"/>
      <w:r w:rsidRPr="0062243E">
        <w:rPr>
          <w:color w:val="000000"/>
          <w:lang w:val="ru-RU" w:eastAsia="ru-RU"/>
        </w:rPr>
        <w:t>характери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соединительной ткани.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</w:t>
      </w:r>
      <w:r w:rsidRPr="0062243E">
        <w:rPr>
          <w:color w:val="000000"/>
          <w:lang w:val="ru-RU" w:eastAsia="ru-RU"/>
        </w:rPr>
        <w:t xml:space="preserve">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патологические очаги ороговения слизистых оболочек.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</w:t>
      </w:r>
      <w:r w:rsidRPr="0062243E">
        <w:rPr>
          <w:color w:val="000000"/>
          <w:lang w:val="ru-RU" w:eastAsia="ru-RU"/>
        </w:rPr>
        <w:t>, с</w:t>
      </w:r>
      <w:r>
        <w:rPr>
          <w:color w:val="000000"/>
          <w:lang w:val="ru-RU" w:eastAsia="ru-RU"/>
        </w:rPr>
        <w:t>окровище)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</w:t>
      </w:r>
      <w:r w:rsidRPr="0062243E">
        <w:rPr>
          <w:color w:val="000000"/>
          <w:lang w:val="ru-RU" w:eastAsia="ru-RU"/>
        </w:rPr>
        <w:t>ропрепарата «Жировая дистрофия печени».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</w:t>
      </w:r>
      <w:r>
        <w:rPr>
          <w:color w:val="000000"/>
          <w:lang w:val="ru-RU" w:eastAsia="ru-RU"/>
        </w:rPr>
        <w:t>й</w:t>
      </w:r>
      <w:proofErr w:type="spellEnd"/>
      <w:r>
        <w:rPr>
          <w:color w:val="000000"/>
          <w:lang w:val="ru-RU" w:eastAsia="ru-RU"/>
        </w:rPr>
        <w:t xml:space="preserve"> нефросклероз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</w:t>
      </w:r>
      <w:r w:rsidRPr="0062243E">
        <w:rPr>
          <w:color w:val="000000"/>
          <w:lang w:val="ru-RU" w:eastAsia="ru-RU"/>
        </w:rPr>
        <w:t>но</w:t>
      </w:r>
      <w:proofErr w:type="spellEnd"/>
      <w:r w:rsidRPr="0062243E">
        <w:rPr>
          <w:color w:val="000000"/>
          <w:lang w:val="ru-RU" w:eastAsia="ru-RU"/>
        </w:rPr>
        <w:t>-сосудист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EF0EB0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 xml:space="preserve"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 xml:space="preserve">ляется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некроз клетки).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 xml:space="preserve">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</w:t>
      </w:r>
      <w:r w:rsidRPr="0062243E">
        <w:rPr>
          <w:color w:val="000000"/>
          <w:lang w:val="ru-RU" w:eastAsia="ru-RU"/>
        </w:rPr>
        <w:t>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 xml:space="preserve">, окрашены более бледно, коллагеновые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 xml:space="preserve"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</w:t>
      </w:r>
      <w:r w:rsidRPr="0062243E">
        <w:rPr>
          <w:color w:val="000000"/>
          <w:lang w:val="ru-RU" w:eastAsia="ru-RU"/>
        </w:rPr>
        <w:t>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10. Ожирение миокарда (окраска гематоксилином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 xml:space="preserve">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EF0EB0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 xml:space="preserve">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 xml:space="preserve">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</w:t>
      </w:r>
      <w:r w:rsidRPr="0062243E">
        <w:rPr>
          <w:color w:val="000000"/>
          <w:lang w:val="ru-RU" w:eastAsia="ru-RU"/>
        </w:rPr>
        <w:t xml:space="preserve">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</w:t>
      </w:r>
      <w:r w:rsidRPr="0062243E">
        <w:rPr>
          <w:color w:val="000000"/>
          <w:lang w:val="ru-RU" w:eastAsia="ru-RU"/>
        </w:rPr>
        <w:t>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Атеросклероз аорты. В интиме аорты видны желтые пятна, полоски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EF0EB0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Баллонная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</w:t>
      </w:r>
      <w:r w:rsidRPr="0062243E">
        <w:rPr>
          <w:color w:val="000000"/>
          <w:lang w:val="ru-RU" w:eastAsia="ru-RU"/>
        </w:rPr>
        <w:t xml:space="preserve">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EF0EB0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 xml:space="preserve">-капельную,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 xml:space="preserve">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 xml:space="preserve">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</w:t>
      </w:r>
      <w:r w:rsidRPr="0062243E">
        <w:rPr>
          <w:color w:val="000000"/>
          <w:lang w:val="ru-RU" w:eastAsia="ru-RU"/>
        </w:rPr>
        <w:t xml:space="preserve">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 xml:space="preserve">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</w:t>
      </w:r>
      <w:r w:rsidRPr="0062243E">
        <w:rPr>
          <w:color w:val="000000"/>
          <w:lang w:val="ru-RU" w:eastAsia="ru-RU"/>
        </w:rPr>
        <w:t xml:space="preserve">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 xml:space="preserve">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</w:t>
      </w:r>
      <w:r w:rsidRPr="0062243E">
        <w:rPr>
          <w:color w:val="000000"/>
          <w:lang w:val="ru-RU" w:eastAsia="ru-RU"/>
        </w:rPr>
        <w:t xml:space="preserve">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</w:t>
      </w:r>
      <w:r w:rsidRPr="0062243E">
        <w:rPr>
          <w:color w:val="000000"/>
          <w:lang w:val="ru-RU" w:eastAsia="ru-RU"/>
        </w:rPr>
        <w:t xml:space="preserve">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 xml:space="preserve">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 xml:space="preserve">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EF0EB0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 xml:space="preserve">),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</w:t>
      </w:r>
      <w:r w:rsidRPr="0062243E">
        <w:rPr>
          <w:color w:val="000000"/>
          <w:lang w:val="ru-RU" w:eastAsia="ru-RU"/>
        </w:rPr>
        <w:t xml:space="preserve">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</w:t>
      </w:r>
      <w:proofErr w:type="spellStart"/>
      <w:r w:rsidRPr="0062243E">
        <w:rPr>
          <w:color w:val="000000"/>
          <w:lang w:val="ru-RU" w:eastAsia="ru-RU"/>
        </w:rPr>
        <w:t>го</w:t>
      </w:r>
      <w:proofErr w:type="spellEnd"/>
      <w:r w:rsidRPr="0062243E">
        <w:rPr>
          <w:color w:val="000000"/>
          <w:lang w:val="ru-RU" w:eastAsia="ru-RU"/>
        </w:rPr>
        <w:t xml:space="preserve">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EF0EB0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 xml:space="preserve">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ларинготрахеит. 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</w:t>
      </w:r>
      <w:r>
        <w:rPr>
          <w:lang w:val="ru-RU" w:eastAsia="ru-RU"/>
        </w:rPr>
        <w:t xml:space="preserve">ё кровенаполнения, толщину стенки. Укажите причины, осложнения и исходы воспалительного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вид, цвет, степень кровенаполнения мягкой мозговой оболочки. Обратите внимание на сглаженность рельефа голо</w:t>
      </w:r>
      <w:r>
        <w:rPr>
          <w:lang w:val="ru-RU" w:eastAsia="ru-RU"/>
        </w:rPr>
        <w:t xml:space="preserve">вного мозга. Укажите причины, возможные исходы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</w:t>
      </w:r>
      <w:r>
        <w:rPr>
          <w:lang w:val="ru-RU" w:eastAsia="ru-RU"/>
        </w:rPr>
        <w:t xml:space="preserve">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Абсцесс лёгкого. Опишите состояние поверхности разреза доли лёгкого, локализацию и размеры п</w:t>
      </w:r>
      <w:r>
        <w:rPr>
          <w:lang w:val="ru-RU" w:eastAsia="ru-RU"/>
        </w:rPr>
        <w:t xml:space="preserve">атологического очага. Обратите внимание на толщину и </w:t>
      </w:r>
      <w:r>
        <w:rPr>
          <w:lang w:val="ru-RU" w:eastAsia="ru-RU"/>
        </w:rPr>
        <w:lastRenderedPageBreak/>
        <w:t xml:space="preserve">структуру стенки абсцесса, содержимое его полости. Определите возможные исходы и влияние на организм.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 мягкой мозговой оболочки полушарий, её толщину, степен</w:t>
      </w:r>
      <w:r>
        <w:rPr>
          <w:lang w:val="ru-RU" w:eastAsia="ru-RU"/>
        </w:rPr>
        <w:t xml:space="preserve">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</w:t>
      </w:r>
      <w:r>
        <w:rPr>
          <w:lang w:val="ru-RU" w:eastAsia="ru-RU"/>
        </w:rPr>
        <w:t xml:space="preserve">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</w:t>
      </w:r>
      <w:r>
        <w:rPr>
          <w:color w:val="000000"/>
          <w:lang w:val="ru-RU" w:eastAsia="ru-RU"/>
        </w:rPr>
        <w:t>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</w:t>
      </w:r>
      <w:r>
        <w:rPr>
          <w:lang w:val="ru-RU" w:eastAsia="ru-RU"/>
        </w:rPr>
        <w:t xml:space="preserve">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Серозно-геморрагическая пневмония.</w:t>
      </w:r>
      <w:r>
        <w:rPr>
          <w:lang w:val="ru-RU" w:eastAsia="ru-RU"/>
        </w:rPr>
        <w:t xml:space="preserve">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препарате изменённый 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альвеолах.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</w:t>
      </w:r>
      <w:r>
        <w:rPr>
          <w:lang w:val="ru-RU" w:eastAsia="ru-RU"/>
        </w:rPr>
        <w:t xml:space="preserve">и участок гнойного расплавления лёгочной ткани. Отметить состояние стенки абсцесса, определить характер воспалительного экссудата в альвеолах вне 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</w:t>
      </w:r>
      <w:r>
        <w:rPr>
          <w:lang w:val="ru-RU" w:eastAsia="ru-RU"/>
        </w:rPr>
        <w:t xml:space="preserve"> в центре очага гнойного расплавления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</w:t>
      </w:r>
      <w:r>
        <w:rPr>
          <w:lang w:val="ru-RU" w:eastAsia="ru-RU"/>
        </w:rPr>
        <w:t xml:space="preserve">ечислите клинические признаки воспаления и объясните их морфогенез.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морфологическую характеристику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12. Перечислите состав гнойного экссудат</w:t>
      </w:r>
      <w:r>
        <w:rPr>
          <w:lang w:val="ru-RU" w:eastAsia="ru-RU"/>
        </w:rPr>
        <w:t xml:space="preserve">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19. Как</w:t>
      </w:r>
      <w:r>
        <w:rPr>
          <w:lang w:val="ru-RU" w:eastAsia="ru-RU"/>
        </w:rPr>
        <w:t xml:space="preserve">ое заболевание может развиться при генерализации гнойной инфекции?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Какая дистрофия может развиться при хроническом течении гнойного воспаления?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3. При каких инфекционных заболеваниях развивается геморрагическое воспаление?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EF0EB0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Спишите зону разрыва стенки, состояние эпикарда. Объясните</w:t>
      </w:r>
      <w:r>
        <w:rPr>
          <w:lang w:val="ru-RU" w:eastAsia="ru-RU"/>
        </w:rPr>
        <w:t xml:space="preserve"> причины и механизм развития разрыва сердца, его исход.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</w:t>
      </w:r>
      <w:r>
        <w:rPr>
          <w:lang w:val="ru-RU" w:eastAsia="ru-RU"/>
        </w:rPr>
        <w:t xml:space="preserve">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Гангрена стопы или кисти. Определите вид гангрены. Опишите внешний вид ткани. Укажите причины развития процесса и его исходы.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Гангрена кишки. Опишите цвет и толщину стенки кишки, характер покрова органа. Укажите возможные причины развития п</w:t>
      </w:r>
      <w:r>
        <w:rPr>
          <w:lang w:val="ru-RU" w:eastAsia="ru-RU"/>
        </w:rPr>
        <w:t xml:space="preserve">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 (слабая и сильная степень).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</w:t>
      </w:r>
      <w:r>
        <w:rPr>
          <w:lang w:val="ru-RU" w:eastAsia="ru-RU"/>
        </w:rPr>
        <w:t xml:space="preserve">и печени при слабой и сильной степенях развития жировой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</w:t>
      </w:r>
      <w:r>
        <w:rPr>
          <w:lang w:val="ru-RU" w:eastAsia="ru-RU"/>
        </w:rPr>
        <w:t xml:space="preserve">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Инфильтрация гликогеном почки (окраска кармином Беста).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</w:t>
      </w:r>
      <w:r>
        <w:rPr>
          <w:lang w:val="ru-RU" w:eastAsia="ru-RU"/>
        </w:rPr>
        <w:t xml:space="preserve">икает данный патологический процесс, и объяснить его механизм.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участки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Дайте оп</w:t>
      </w:r>
      <w:r>
        <w:rPr>
          <w:lang w:val="ru-RU" w:eastAsia="ru-RU"/>
        </w:rPr>
        <w:t xml:space="preserve">ределение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органы, в</w:t>
      </w:r>
      <w:r>
        <w:rPr>
          <w:lang w:val="ru-RU" w:eastAsia="ru-RU"/>
        </w:rPr>
        <w:t xml:space="preserve"> которых чаще всего развивается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К</w:t>
      </w:r>
      <w:r>
        <w:rPr>
          <w:lang w:val="ru-RU" w:eastAsia="ru-RU"/>
        </w:rPr>
        <w:t xml:space="preserve">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Что такое жировая декомпо</w:t>
      </w:r>
      <w:r>
        <w:rPr>
          <w:lang w:val="ru-RU" w:eastAsia="ru-RU"/>
        </w:rPr>
        <w:t xml:space="preserve">зиция?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26. </w:t>
      </w:r>
      <w:r>
        <w:rPr>
          <w:lang w:val="ru-RU" w:eastAsia="ru-RU"/>
        </w:rPr>
        <w:t>Назовите наследственные углеводные дистрофии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</w:t>
      </w:r>
      <w:r>
        <w:rPr>
          <w:lang w:val="ru-RU" w:eastAsia="ru-RU"/>
        </w:rPr>
        <w:t xml:space="preserve"> Дайте характеристику инфаркта миокарда.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37. Перечислите клиник</w:t>
      </w:r>
      <w:r>
        <w:rPr>
          <w:lang w:val="ru-RU" w:eastAsia="ru-RU"/>
        </w:rPr>
        <w:t xml:space="preserve">о-морфологические формы некроза.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45. Назовите наиболее характерный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EF0EB0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</w:t>
      </w:r>
      <w:r>
        <w:rPr>
          <w:color w:val="000000"/>
          <w:lang w:val="ru-RU" w:eastAsia="ru-RU"/>
        </w:rPr>
        <w:t>пы адаптационных процессов.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 xml:space="preserve">) некроз по макроскопической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</w:t>
      </w:r>
      <w:r>
        <w:rPr>
          <w:lang w:val="ru-RU" w:eastAsia="ru-RU"/>
        </w:rPr>
        <w:t xml:space="preserve">ий инфаркт селезенки",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</w:t>
      </w:r>
      <w:r>
        <w:rPr>
          <w:lang w:val="ru-RU" w:eastAsia="ru-RU"/>
        </w:rPr>
        <w:t xml:space="preserve">истенцию, отметить наличие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некротические изменения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</w:t>
      </w:r>
      <w:r>
        <w:rPr>
          <w:lang w:val="ru-RU" w:eastAsia="ru-RU"/>
        </w:rPr>
        <w:t xml:space="preserve">обратить внимание на изменения в центре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</w:t>
      </w:r>
      <w:r>
        <w:rPr>
          <w:lang w:val="ru-RU" w:eastAsia="ru-RU"/>
        </w:rPr>
        <w:t xml:space="preserve">. Обратить внимание на изменения хроматина,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 xml:space="preserve">) при гепатите" (окраска гематоксилином и эозином). </w:t>
      </w:r>
      <w:r>
        <w:rPr>
          <w:lang w:val="ru-RU" w:eastAsia="ru-RU"/>
        </w:rPr>
        <w:t xml:space="preserve">Обратить внимание на локализацию, форму,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</w:t>
      </w:r>
      <w:r>
        <w:rPr>
          <w:lang w:val="ru-RU" w:eastAsia="ru-RU"/>
        </w:rPr>
        <w:t xml:space="preserve">ом и эозином). Обратить внимание на 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EF0EB0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Описать микропрепарат "Ишемический инфаркт </w:t>
      </w:r>
      <w:r>
        <w:rPr>
          <w:lang w:val="ru-RU" w:eastAsia="ru-RU"/>
        </w:rPr>
        <w:t xml:space="preserve">почки" (окраска гематоксилином и эозином),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EF0EB0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EF0EB0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EF0EB0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EF0EB0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</w:t>
      </w:r>
      <w:r>
        <w:rPr>
          <w:color w:val="000000"/>
          <w:lang w:val="ru-RU" w:eastAsia="ru-RU"/>
        </w:rPr>
        <w:t>ктеристика отдельных видов некроза.</w:t>
      </w:r>
    </w:p>
    <w:p w:rsidR="007E4AD2" w:rsidRPr="000A0833" w:rsidRDefault="00EF0EB0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EF0EB0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EF0EB0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EF0EB0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EF0EB0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EF0EB0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 xml:space="preserve">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медицинская академия, 2011.— 236 c</w:t>
      </w:r>
    </w:p>
    <w:p w:rsidR="007E4AD2" w:rsidRPr="007E4AD2" w:rsidRDefault="00EF0EB0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EF0EB0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</w:t>
      </w:r>
      <w:r w:rsidRPr="009870BA">
        <w:rPr>
          <w:lang w:val="ru-RU" w:eastAsia="ru-RU"/>
        </w:rPr>
        <w:t xml:space="preserve">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EF0EB0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EF0EB0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</w:t>
      </w:r>
      <w:r w:rsidRPr="009870BA">
        <w:rPr>
          <w:lang w:val="ru-RU" w:eastAsia="ru-RU"/>
        </w:rPr>
        <w:t>. – 726 с.: ил.</w:t>
      </w:r>
    </w:p>
    <w:p w:rsidR="007E4AD2" w:rsidRPr="009870BA" w:rsidRDefault="00EF0EB0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EF0EB0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</w:t>
      </w:r>
      <w:r w:rsidRPr="00822434">
        <w:rPr>
          <w:lang w:val="ru-RU" w:eastAsia="ru-RU"/>
        </w:rPr>
        <w:t xml:space="preserve"> вопросах и ответах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20F60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B4E7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48B1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F64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045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E0F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0666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0491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1669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431C1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D68C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A0D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C676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7A62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CAE1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F29C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F8A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C69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1F3828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33745AAA" w:tentative="1">
      <w:start w:val="1"/>
      <w:numFmt w:val="lowerLetter"/>
      <w:lvlText w:val="%2."/>
      <w:lvlJc w:val="left"/>
      <w:pPr>
        <w:ind w:left="1789" w:hanging="360"/>
      </w:pPr>
    </w:lvl>
    <w:lvl w:ilvl="2" w:tplc="B2AE6654" w:tentative="1">
      <w:start w:val="1"/>
      <w:numFmt w:val="lowerRoman"/>
      <w:lvlText w:val="%3."/>
      <w:lvlJc w:val="right"/>
      <w:pPr>
        <w:ind w:left="2509" w:hanging="180"/>
      </w:pPr>
    </w:lvl>
    <w:lvl w:ilvl="3" w:tplc="427CEF34" w:tentative="1">
      <w:start w:val="1"/>
      <w:numFmt w:val="decimal"/>
      <w:lvlText w:val="%4."/>
      <w:lvlJc w:val="left"/>
      <w:pPr>
        <w:ind w:left="3229" w:hanging="360"/>
      </w:pPr>
    </w:lvl>
    <w:lvl w:ilvl="4" w:tplc="253CE834" w:tentative="1">
      <w:start w:val="1"/>
      <w:numFmt w:val="lowerLetter"/>
      <w:lvlText w:val="%5."/>
      <w:lvlJc w:val="left"/>
      <w:pPr>
        <w:ind w:left="3949" w:hanging="360"/>
      </w:pPr>
    </w:lvl>
    <w:lvl w:ilvl="5" w:tplc="CD3AA82A" w:tentative="1">
      <w:start w:val="1"/>
      <w:numFmt w:val="lowerRoman"/>
      <w:lvlText w:val="%6."/>
      <w:lvlJc w:val="right"/>
      <w:pPr>
        <w:ind w:left="4669" w:hanging="180"/>
      </w:pPr>
    </w:lvl>
    <w:lvl w:ilvl="6" w:tplc="E33CFB00" w:tentative="1">
      <w:start w:val="1"/>
      <w:numFmt w:val="decimal"/>
      <w:lvlText w:val="%7."/>
      <w:lvlJc w:val="left"/>
      <w:pPr>
        <w:ind w:left="5389" w:hanging="360"/>
      </w:pPr>
    </w:lvl>
    <w:lvl w:ilvl="7" w:tplc="B86472B8" w:tentative="1">
      <w:start w:val="1"/>
      <w:numFmt w:val="lowerLetter"/>
      <w:lvlText w:val="%8."/>
      <w:lvlJc w:val="left"/>
      <w:pPr>
        <w:ind w:left="6109" w:hanging="360"/>
      </w:pPr>
    </w:lvl>
    <w:lvl w:ilvl="8" w:tplc="8D8A9154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929AB"/>
    <w:rsid w:val="00014AEF"/>
    <w:rsid w:val="000A0833"/>
    <w:rsid w:val="000A170D"/>
    <w:rsid w:val="000B2F76"/>
    <w:rsid w:val="00125881"/>
    <w:rsid w:val="001753EC"/>
    <w:rsid w:val="001E784B"/>
    <w:rsid w:val="002929AB"/>
    <w:rsid w:val="002A0232"/>
    <w:rsid w:val="00302F12"/>
    <w:rsid w:val="00347283"/>
    <w:rsid w:val="003D06A5"/>
    <w:rsid w:val="004A4ED1"/>
    <w:rsid w:val="005C7F8D"/>
    <w:rsid w:val="0062243E"/>
    <w:rsid w:val="007571C7"/>
    <w:rsid w:val="00766668"/>
    <w:rsid w:val="007E318C"/>
    <w:rsid w:val="007E4AD2"/>
    <w:rsid w:val="00822434"/>
    <w:rsid w:val="008347E0"/>
    <w:rsid w:val="00847FB7"/>
    <w:rsid w:val="009870BA"/>
    <w:rsid w:val="009F4EBD"/>
    <w:rsid w:val="00B37390"/>
    <w:rsid w:val="00B8340C"/>
    <w:rsid w:val="00CC25D2"/>
    <w:rsid w:val="00E41B60"/>
    <w:rsid w:val="00EF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EF390B1-5150-4CD6-B1F4-9B3A71B2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qFormat/>
    <w:rsid w:val="00847FB7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47FB7"/>
    <w:rPr>
      <w:b/>
      <w:bCs/>
      <w:i/>
      <w:iCs/>
      <w:sz w:val="26"/>
      <w:szCs w:val="26"/>
      <w:lang w:val="ru-RU" w:eastAsia="ru-RU" w:bidi="ar-SA"/>
    </w:rPr>
  </w:style>
  <w:style w:type="paragraph" w:styleId="a3">
    <w:name w:val="Normal (Web)"/>
    <w:basedOn w:val="a"/>
    <w:uiPriority w:val="99"/>
    <w:unhideWhenUsed/>
    <w:rsid w:val="00847FB7"/>
    <w:pPr>
      <w:spacing w:before="100" w:beforeAutospacing="1" w:after="100" w:afterAutospacing="1"/>
    </w:pPr>
    <w:rPr>
      <w:lang w:val="ru-RU" w:eastAsia="ru-RU"/>
    </w:rPr>
  </w:style>
  <w:style w:type="paragraph" w:customStyle="1" w:styleId="Default">
    <w:name w:val="Default"/>
    <w:rsid w:val="007E4AD2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2023-10-03T12:03:00Z</dcterms:created>
  <dcterms:modified xsi:type="dcterms:W3CDTF">2023-10-03T12:03:00Z</dcterms:modified>
</cp:coreProperties>
</file>